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16" w:rsidRPr="000A0A15" w:rsidRDefault="00DD4916" w:rsidP="00DD4916">
      <w:pPr>
        <w:jc w:val="center"/>
        <w:rPr>
          <w:rFonts w:ascii="Arial Narrow" w:hAnsi="Arial Narrow"/>
          <w:noProof/>
          <w:sz w:val="36"/>
          <w:szCs w:val="36"/>
        </w:rPr>
      </w:pPr>
      <w:r w:rsidRPr="000A0A15">
        <w:rPr>
          <w:rFonts w:ascii="Arial Narrow" w:hAnsi="Arial Narrow"/>
          <w:noProof/>
          <w:sz w:val="36"/>
          <w:szCs w:val="36"/>
        </w:rPr>
        <w:t>Camera dei deputati</w:t>
      </w:r>
    </w:p>
    <w:p w:rsidR="00DD4916" w:rsidRPr="000A0A15" w:rsidRDefault="00DD4916" w:rsidP="00DD4916">
      <w:pPr>
        <w:jc w:val="center"/>
        <w:rPr>
          <w:rFonts w:ascii="Arial Narrow" w:hAnsi="Arial Narrow"/>
          <w:noProof/>
          <w:sz w:val="28"/>
          <w:szCs w:val="28"/>
        </w:rPr>
      </w:pPr>
      <w:r w:rsidRPr="000A0A15">
        <w:rPr>
          <w:rFonts w:ascii="Arial Narrow" w:hAnsi="Arial Narrow"/>
          <w:noProof/>
          <w:sz w:val="28"/>
          <w:szCs w:val="28"/>
        </w:rPr>
        <w:t>XVI</w:t>
      </w:r>
      <w:r w:rsidR="004024F4" w:rsidRPr="000A0A15">
        <w:rPr>
          <w:rFonts w:ascii="Arial Narrow" w:hAnsi="Arial Narrow"/>
          <w:noProof/>
          <w:sz w:val="28"/>
          <w:szCs w:val="28"/>
        </w:rPr>
        <w:t>I</w:t>
      </w:r>
      <w:r w:rsidRPr="000A0A15">
        <w:rPr>
          <w:rFonts w:ascii="Arial Narrow" w:hAnsi="Arial Narrow"/>
          <w:noProof/>
          <w:sz w:val="28"/>
          <w:szCs w:val="28"/>
        </w:rPr>
        <w:t xml:space="preserve"> Legislatura</w:t>
      </w:r>
    </w:p>
    <w:p w:rsidR="00DD4916" w:rsidRPr="000A0A15" w:rsidRDefault="00DD4916" w:rsidP="00DD4916">
      <w:pPr>
        <w:jc w:val="center"/>
        <w:rPr>
          <w:rFonts w:ascii="Arial Narrow" w:hAnsi="Arial Narrow"/>
          <w:noProof/>
          <w:sz w:val="28"/>
          <w:szCs w:val="28"/>
        </w:rPr>
      </w:pPr>
    </w:p>
    <w:p w:rsidR="00DD4916" w:rsidRPr="000A0A15" w:rsidRDefault="00DD4916" w:rsidP="00DD4916">
      <w:pPr>
        <w:jc w:val="center"/>
        <w:rPr>
          <w:rFonts w:ascii="Arial Narrow" w:hAnsi="Arial Narrow"/>
          <w:b/>
          <w:noProof/>
          <w:sz w:val="32"/>
          <w:szCs w:val="32"/>
        </w:rPr>
      </w:pPr>
      <w:r w:rsidRPr="000A0A15">
        <w:rPr>
          <w:rFonts w:ascii="Arial Narrow" w:hAnsi="Arial Narrow"/>
          <w:b/>
          <w:noProof/>
          <w:sz w:val="32"/>
          <w:szCs w:val="32"/>
        </w:rPr>
        <w:t>BIBLIOTECA – LEGISLAZIONE STRANIERA</w:t>
      </w:r>
    </w:p>
    <w:p w:rsidR="00DD4916" w:rsidRPr="000A0A15" w:rsidRDefault="00DD4916" w:rsidP="00DD4916">
      <w:pPr>
        <w:jc w:val="center"/>
        <w:rPr>
          <w:rFonts w:ascii="Georgia" w:hAnsi="Georgia"/>
          <w:b/>
          <w:noProof/>
          <w:sz w:val="32"/>
          <w:szCs w:val="32"/>
        </w:rPr>
      </w:pPr>
    </w:p>
    <w:tbl>
      <w:tblPr>
        <w:tblW w:w="0" w:type="auto"/>
        <w:tblInd w:w="70" w:type="dxa"/>
        <w:tblBorders>
          <w:top w:val="double" w:sz="4" w:space="0" w:color="auto"/>
        </w:tblBorders>
        <w:shd w:val="clear" w:color="auto" w:fill="339966"/>
        <w:tblCellMar>
          <w:left w:w="70" w:type="dxa"/>
          <w:right w:w="70" w:type="dxa"/>
        </w:tblCellMar>
        <w:tblLook w:val="0000" w:firstRow="0" w:lastRow="0" w:firstColumn="0" w:lastColumn="0" w:noHBand="0" w:noVBand="0"/>
      </w:tblPr>
      <w:tblGrid>
        <w:gridCol w:w="8574"/>
      </w:tblGrid>
      <w:tr w:rsidR="00DD4916" w:rsidRPr="000A0A15" w:rsidTr="00F84D1F">
        <w:trPr>
          <w:trHeight w:val="97"/>
        </w:trPr>
        <w:tc>
          <w:tcPr>
            <w:tcW w:w="9540" w:type="dxa"/>
            <w:shd w:val="clear" w:color="auto" w:fill="339966"/>
          </w:tcPr>
          <w:p w:rsidR="00DD4916" w:rsidRPr="000A0A15" w:rsidRDefault="00DD4916" w:rsidP="00F84D1F">
            <w:pPr>
              <w:jc w:val="center"/>
              <w:rPr>
                <w:rFonts w:ascii="Tahoma" w:hAnsi="Tahoma" w:cs="Tahoma"/>
                <w:b/>
                <w:i/>
                <w:caps/>
                <w:noProof/>
                <w:color w:val="FFFFFF"/>
              </w:rPr>
            </w:pPr>
            <w:r w:rsidRPr="000A0A15">
              <w:rPr>
                <w:rFonts w:ascii="Tahoma" w:hAnsi="Tahoma" w:cs="Tahoma"/>
                <w:b/>
                <w:caps/>
                <w:noProof/>
                <w:color w:val="FFFFFF"/>
              </w:rPr>
              <w:t>A P P U N T I</w:t>
            </w:r>
          </w:p>
        </w:tc>
      </w:tr>
    </w:tbl>
    <w:p w:rsidR="00C174B2" w:rsidRPr="000A0A15" w:rsidRDefault="00C174B2" w:rsidP="00C174B2">
      <w:pPr>
        <w:pStyle w:val="NormaleWeb"/>
        <w:jc w:val="center"/>
        <w:rPr>
          <w:rStyle w:val="Enfasigrassetto"/>
          <w:rFonts w:ascii="Georgia" w:hAnsi="Georgia"/>
          <w:noProof/>
          <w:color w:val="008000"/>
          <w:sz w:val="24"/>
          <w:szCs w:val="24"/>
        </w:rPr>
      </w:pPr>
    </w:p>
    <w:p w:rsidR="000E21BE" w:rsidRPr="000A0A15" w:rsidRDefault="00C174B2" w:rsidP="000E21BE">
      <w:pPr>
        <w:pStyle w:val="NormaleWeb"/>
        <w:spacing w:after="720" w:afterAutospacing="0"/>
        <w:rPr>
          <w:rFonts w:ascii="Georgia" w:hAnsi="Georgia"/>
          <w:b/>
          <w:sz w:val="28"/>
          <w:szCs w:val="28"/>
        </w:rPr>
      </w:pPr>
      <w:r w:rsidRPr="000A0A15">
        <w:rPr>
          <w:rStyle w:val="Enfasigrassetto"/>
          <w:rFonts w:ascii="Georgia" w:hAnsi="Georgia"/>
          <w:noProof/>
          <w:color w:val="008000"/>
          <w:sz w:val="24"/>
          <w:szCs w:val="24"/>
        </w:rPr>
        <w:t xml:space="preserve">Appunto </w:t>
      </w:r>
      <w:r w:rsidR="006615B4">
        <w:rPr>
          <w:rStyle w:val="Enfasigrassetto"/>
          <w:rFonts w:ascii="Georgia" w:hAnsi="Georgia"/>
          <w:noProof/>
          <w:color w:val="008000"/>
          <w:sz w:val="24"/>
          <w:szCs w:val="24"/>
        </w:rPr>
        <w:t>7</w:t>
      </w:r>
      <w:r w:rsidRPr="000A0A15">
        <w:rPr>
          <w:rStyle w:val="Enfasigrassetto"/>
          <w:rFonts w:ascii="Georgia" w:hAnsi="Georgia"/>
          <w:noProof/>
          <w:color w:val="008000"/>
          <w:sz w:val="24"/>
          <w:szCs w:val="24"/>
        </w:rPr>
        <w:t>/201</w:t>
      </w:r>
      <w:r w:rsidR="00451C6F" w:rsidRPr="000A0A15">
        <w:rPr>
          <w:rStyle w:val="Enfasigrassetto"/>
          <w:rFonts w:ascii="Georgia" w:hAnsi="Georgia"/>
          <w:noProof/>
          <w:color w:val="008000"/>
          <w:sz w:val="24"/>
          <w:szCs w:val="24"/>
        </w:rPr>
        <w:t>7</w:t>
      </w:r>
      <w:r w:rsidRPr="000A0A15">
        <w:rPr>
          <w:rStyle w:val="Enfasigrassetto"/>
          <w:rFonts w:ascii="Georgia" w:hAnsi="Georgia"/>
          <w:noProof/>
          <w:color w:val="008000"/>
          <w:sz w:val="24"/>
          <w:szCs w:val="24"/>
        </w:rPr>
        <w:tab/>
      </w:r>
      <w:r w:rsidRPr="000A0A15">
        <w:rPr>
          <w:rStyle w:val="Enfasigrassetto"/>
          <w:rFonts w:ascii="Georgia" w:hAnsi="Georgia"/>
          <w:noProof/>
          <w:color w:val="008000"/>
          <w:sz w:val="24"/>
          <w:szCs w:val="24"/>
        </w:rPr>
        <w:tab/>
      </w:r>
      <w:r w:rsidRPr="000A0A15">
        <w:rPr>
          <w:rStyle w:val="Enfasigrassetto"/>
          <w:rFonts w:ascii="Georgia" w:hAnsi="Georgia"/>
          <w:noProof/>
          <w:color w:val="008000"/>
          <w:sz w:val="24"/>
          <w:szCs w:val="24"/>
        </w:rPr>
        <w:tab/>
      </w:r>
      <w:r w:rsidRPr="000A0A15">
        <w:rPr>
          <w:rStyle w:val="Enfasigrassetto"/>
          <w:rFonts w:ascii="Georgia" w:hAnsi="Georgia"/>
          <w:noProof/>
          <w:color w:val="008000"/>
          <w:sz w:val="24"/>
          <w:szCs w:val="24"/>
        </w:rPr>
        <w:tab/>
      </w:r>
      <w:r w:rsidRPr="000A0A15">
        <w:rPr>
          <w:rStyle w:val="Enfasigrassetto"/>
          <w:rFonts w:ascii="Georgia" w:hAnsi="Georgia"/>
          <w:noProof/>
          <w:color w:val="008000"/>
          <w:sz w:val="24"/>
          <w:szCs w:val="24"/>
        </w:rPr>
        <w:tab/>
      </w:r>
      <w:r w:rsidR="00451C6F" w:rsidRPr="000A0A15">
        <w:rPr>
          <w:rStyle w:val="Enfasigrassetto"/>
          <w:rFonts w:ascii="Georgia" w:hAnsi="Georgia"/>
          <w:noProof/>
          <w:color w:val="008000"/>
          <w:sz w:val="24"/>
          <w:szCs w:val="24"/>
        </w:rPr>
        <w:tab/>
      </w:r>
      <w:r w:rsidR="00451C6F" w:rsidRPr="000A0A15">
        <w:rPr>
          <w:rStyle w:val="Enfasigrassetto"/>
          <w:rFonts w:ascii="Georgia" w:hAnsi="Georgia"/>
          <w:noProof/>
          <w:color w:val="008000"/>
          <w:sz w:val="24"/>
          <w:szCs w:val="24"/>
        </w:rPr>
        <w:tab/>
      </w:r>
      <w:r w:rsidR="00893566">
        <w:rPr>
          <w:rStyle w:val="Enfasigrassetto"/>
          <w:rFonts w:ascii="Georgia" w:hAnsi="Georgia"/>
          <w:noProof/>
          <w:color w:val="008000"/>
          <w:sz w:val="24"/>
          <w:szCs w:val="24"/>
        </w:rPr>
        <w:t xml:space="preserve">      </w:t>
      </w:r>
      <w:r w:rsidR="006615B4">
        <w:rPr>
          <w:rStyle w:val="Enfasigrassetto"/>
          <w:rFonts w:ascii="Georgia" w:hAnsi="Georgia"/>
          <w:noProof/>
          <w:color w:val="008000"/>
          <w:sz w:val="24"/>
          <w:szCs w:val="24"/>
        </w:rPr>
        <w:t xml:space="preserve"> </w:t>
      </w:r>
      <w:r w:rsidR="00893566">
        <w:rPr>
          <w:rStyle w:val="Enfasigrassetto"/>
          <w:rFonts w:ascii="Georgia" w:hAnsi="Georgia"/>
          <w:noProof/>
          <w:color w:val="008000"/>
          <w:sz w:val="24"/>
          <w:szCs w:val="24"/>
        </w:rPr>
        <w:t xml:space="preserve"> </w:t>
      </w:r>
      <w:r w:rsidR="006615B4">
        <w:rPr>
          <w:rStyle w:val="Enfasigrassetto"/>
          <w:rFonts w:ascii="Georgia" w:hAnsi="Georgia"/>
          <w:noProof/>
          <w:color w:val="008000"/>
          <w:sz w:val="24"/>
          <w:szCs w:val="24"/>
        </w:rPr>
        <w:t>7</w:t>
      </w:r>
      <w:r w:rsidR="00250E2D">
        <w:rPr>
          <w:rStyle w:val="Enfasigrassetto"/>
          <w:rFonts w:ascii="Georgia" w:hAnsi="Georgia"/>
          <w:noProof/>
          <w:color w:val="008000"/>
          <w:sz w:val="24"/>
          <w:szCs w:val="24"/>
        </w:rPr>
        <w:t xml:space="preserve"> </w:t>
      </w:r>
      <w:r w:rsidR="00893566">
        <w:rPr>
          <w:rStyle w:val="Enfasigrassetto"/>
          <w:rFonts w:ascii="Georgia" w:hAnsi="Georgia"/>
          <w:noProof/>
          <w:color w:val="008000"/>
          <w:sz w:val="24"/>
          <w:szCs w:val="24"/>
        </w:rPr>
        <w:t>marzo</w:t>
      </w:r>
      <w:r w:rsidRPr="000A0A15">
        <w:rPr>
          <w:rStyle w:val="Enfasigrassetto"/>
          <w:rFonts w:ascii="Georgia" w:hAnsi="Georgia"/>
          <w:noProof/>
          <w:color w:val="008000"/>
          <w:sz w:val="24"/>
          <w:szCs w:val="24"/>
        </w:rPr>
        <w:t xml:space="preserve"> 201</w:t>
      </w:r>
      <w:r w:rsidR="00451C6F" w:rsidRPr="000A0A15">
        <w:rPr>
          <w:rStyle w:val="Enfasigrassetto"/>
          <w:rFonts w:ascii="Georgia" w:hAnsi="Georgia"/>
          <w:noProof/>
          <w:color w:val="008000"/>
          <w:sz w:val="24"/>
          <w:szCs w:val="24"/>
        </w:rPr>
        <w:t>7</w:t>
      </w:r>
    </w:p>
    <w:p w:rsidR="005E377B" w:rsidRDefault="005E377B" w:rsidP="005E377B">
      <w:pPr>
        <w:pStyle w:val="NormaleWeb"/>
        <w:spacing w:before="120" w:beforeAutospacing="0" w:after="0" w:afterAutospacing="0"/>
        <w:jc w:val="center"/>
        <w:rPr>
          <w:rFonts w:ascii="Georgia" w:hAnsi="Georgia"/>
          <w:b/>
          <w:sz w:val="28"/>
          <w:szCs w:val="28"/>
        </w:rPr>
      </w:pPr>
      <w:r>
        <w:rPr>
          <w:rFonts w:ascii="Georgia" w:hAnsi="Georgia"/>
          <w:b/>
          <w:sz w:val="28"/>
          <w:szCs w:val="28"/>
        </w:rPr>
        <w:t>M</w:t>
      </w:r>
      <w:r w:rsidR="00B438D2">
        <w:rPr>
          <w:rFonts w:ascii="Georgia" w:hAnsi="Georgia"/>
          <w:b/>
          <w:sz w:val="28"/>
          <w:szCs w:val="28"/>
        </w:rPr>
        <w:t xml:space="preserve">isure legislative </w:t>
      </w:r>
      <w:r>
        <w:rPr>
          <w:rFonts w:ascii="Georgia" w:hAnsi="Georgia"/>
          <w:b/>
          <w:sz w:val="28"/>
          <w:szCs w:val="28"/>
        </w:rPr>
        <w:t xml:space="preserve">e piani nazionali </w:t>
      </w:r>
      <w:r w:rsidR="00B438D2">
        <w:rPr>
          <w:rFonts w:ascii="Georgia" w:hAnsi="Georgia"/>
          <w:b/>
          <w:sz w:val="28"/>
          <w:szCs w:val="28"/>
        </w:rPr>
        <w:t>nel settore</w:t>
      </w:r>
    </w:p>
    <w:p w:rsidR="00C174B2" w:rsidRDefault="00B438D2" w:rsidP="009A493C">
      <w:pPr>
        <w:pStyle w:val="NormaleWeb"/>
        <w:spacing w:before="0" w:beforeAutospacing="0" w:after="120" w:afterAutospacing="0"/>
        <w:jc w:val="center"/>
        <w:rPr>
          <w:rFonts w:ascii="Georgia" w:hAnsi="Georgia"/>
          <w:b/>
          <w:sz w:val="28"/>
          <w:szCs w:val="28"/>
        </w:rPr>
      </w:pPr>
      <w:r>
        <w:rPr>
          <w:rFonts w:ascii="Georgia" w:hAnsi="Georgia"/>
          <w:b/>
          <w:sz w:val="28"/>
          <w:szCs w:val="28"/>
        </w:rPr>
        <w:t>dell’energia adotta</w:t>
      </w:r>
      <w:r w:rsidR="005E377B">
        <w:rPr>
          <w:rFonts w:ascii="Georgia" w:hAnsi="Georgia"/>
          <w:b/>
          <w:sz w:val="28"/>
          <w:szCs w:val="28"/>
        </w:rPr>
        <w:t>ti</w:t>
      </w:r>
      <w:r>
        <w:rPr>
          <w:rFonts w:ascii="Georgia" w:hAnsi="Georgia"/>
          <w:b/>
          <w:sz w:val="28"/>
          <w:szCs w:val="28"/>
        </w:rPr>
        <w:t xml:space="preserve"> n</w:t>
      </w:r>
      <w:r w:rsidR="00E64AC7" w:rsidRPr="005E2B73">
        <w:rPr>
          <w:rFonts w:ascii="Georgia" w:hAnsi="Georgia"/>
          <w:b/>
          <w:sz w:val="28"/>
          <w:szCs w:val="28"/>
        </w:rPr>
        <w:t>ei principali paesi europei</w:t>
      </w:r>
      <w:bookmarkStart w:id="0" w:name="_GoBack"/>
      <w:bookmarkEnd w:id="0"/>
    </w:p>
    <w:p w:rsidR="009A493C" w:rsidRPr="009A493C" w:rsidRDefault="009A493C" w:rsidP="009A493C">
      <w:pPr>
        <w:pStyle w:val="NormaleWeb"/>
        <w:spacing w:before="0" w:beforeAutospacing="0" w:after="600" w:afterAutospacing="0"/>
        <w:jc w:val="center"/>
        <w:rPr>
          <w:rFonts w:ascii="Georgia" w:hAnsi="Georgia"/>
          <w:sz w:val="24"/>
          <w:szCs w:val="24"/>
        </w:rPr>
      </w:pPr>
      <w:r w:rsidRPr="009A493C">
        <w:rPr>
          <w:rFonts w:ascii="Georgia" w:hAnsi="Georgia"/>
          <w:sz w:val="24"/>
          <w:szCs w:val="24"/>
        </w:rPr>
        <w:t>(</w:t>
      </w:r>
      <w:r w:rsidRPr="009A493C">
        <w:rPr>
          <w:rFonts w:ascii="Georgia" w:hAnsi="Georgia"/>
          <w:i/>
          <w:sz w:val="24"/>
          <w:szCs w:val="24"/>
        </w:rPr>
        <w:t>aggiornamento al 1° marzo 2018</w:t>
      </w:r>
      <w:r w:rsidRPr="009A493C">
        <w:rPr>
          <w:rFonts w:ascii="Georgia" w:hAnsi="Georgia"/>
          <w:sz w:val="24"/>
          <w:szCs w:val="24"/>
        </w:rPr>
        <w:t>)</w:t>
      </w:r>
    </w:p>
    <w:p w:rsidR="00B373C9" w:rsidRPr="005E2B73" w:rsidRDefault="004127E3" w:rsidP="000B210D">
      <w:pPr>
        <w:pStyle w:val="NormaleWeb"/>
        <w:spacing w:before="0" w:beforeAutospacing="0" w:after="240" w:afterAutospacing="0"/>
        <w:rPr>
          <w:rFonts w:ascii="Georgia" w:hAnsi="Georgia"/>
          <w:b/>
          <w:bCs/>
          <w:sz w:val="28"/>
          <w:szCs w:val="28"/>
        </w:rPr>
      </w:pPr>
      <w:r w:rsidRPr="005E2B73">
        <w:rPr>
          <w:rFonts w:ascii="Georgia" w:hAnsi="Georgia"/>
          <w:b/>
          <w:bCs/>
          <w:sz w:val="28"/>
          <w:szCs w:val="28"/>
        </w:rPr>
        <w:t>Francia</w:t>
      </w:r>
    </w:p>
    <w:p w:rsidR="00207AEE" w:rsidRPr="008410DA" w:rsidRDefault="00402105" w:rsidP="00207AEE">
      <w:pPr>
        <w:widowControl w:val="0"/>
        <w:autoSpaceDE w:val="0"/>
        <w:autoSpaceDN w:val="0"/>
        <w:adjustRightInd w:val="0"/>
        <w:spacing w:after="120"/>
        <w:ind w:firstLine="357"/>
        <w:jc w:val="both"/>
        <w:rPr>
          <w:rFonts w:ascii="Georgia" w:hAnsi="Georgia" w:cs="Arial"/>
        </w:rPr>
      </w:pPr>
      <w:r>
        <w:rPr>
          <w:rFonts w:ascii="Georgia" w:hAnsi="Georgia" w:cs="Arial"/>
        </w:rPr>
        <w:t>Con la</w:t>
      </w:r>
      <w:r w:rsidR="00207AEE" w:rsidRPr="008410DA">
        <w:rPr>
          <w:rFonts w:ascii="Georgia" w:hAnsi="Georgia" w:cs="Arial"/>
        </w:rPr>
        <w:t xml:space="preserve"> </w:t>
      </w:r>
      <w:r w:rsidR="00207AEE" w:rsidRPr="008410DA">
        <w:rPr>
          <w:rFonts w:ascii="Georgia" w:hAnsi="Georgia" w:cs="Arial"/>
          <w:b/>
        </w:rPr>
        <w:t>legge relativa alla transizione energetica per la crescita verde</w:t>
      </w:r>
      <w:r w:rsidR="00207AEE" w:rsidRPr="008410DA">
        <w:rPr>
          <w:rFonts w:ascii="Georgia" w:hAnsi="Georgia" w:cs="Arial"/>
        </w:rPr>
        <w:t xml:space="preserve"> (</w:t>
      </w:r>
      <w:proofErr w:type="spellStart"/>
      <w:r w:rsidR="005E2B73" w:rsidRPr="008410DA">
        <w:fldChar w:fldCharType="begin"/>
      </w:r>
      <w:r w:rsidR="005E2B73" w:rsidRPr="008410DA">
        <w:rPr>
          <w:rFonts w:ascii="Georgia" w:hAnsi="Georgia"/>
        </w:rPr>
        <w:instrText xml:space="preserve"> HYPERLINK "https://www.legifrance.gouv.fr/affichTexte.do?cidTexte=JORFTEXT000031044385&amp;categorieLien=id" </w:instrText>
      </w:r>
      <w:r w:rsidR="005E2B73" w:rsidRPr="008410DA">
        <w:fldChar w:fldCharType="separate"/>
      </w:r>
      <w:r w:rsidR="00207AEE" w:rsidRPr="008410DA">
        <w:rPr>
          <w:rStyle w:val="Collegamentoipertestuale"/>
          <w:rFonts w:ascii="Georgia" w:hAnsi="Georgia" w:cs="Arial"/>
          <w:i/>
        </w:rPr>
        <w:t>Loi</w:t>
      </w:r>
      <w:proofErr w:type="spellEnd"/>
      <w:r w:rsidR="00207AEE" w:rsidRPr="008410DA">
        <w:rPr>
          <w:rStyle w:val="Collegamentoipertestuale"/>
          <w:rFonts w:ascii="Georgia" w:hAnsi="Georgia" w:cs="Arial"/>
          <w:i/>
        </w:rPr>
        <w:t xml:space="preserve"> n. 2015-992 </w:t>
      </w:r>
      <w:proofErr w:type="spellStart"/>
      <w:r w:rsidR="00207AEE" w:rsidRPr="008410DA">
        <w:rPr>
          <w:rStyle w:val="Collegamentoipertestuale"/>
          <w:rFonts w:ascii="Georgia" w:hAnsi="Georgia" w:cs="Arial"/>
          <w:i/>
        </w:rPr>
        <w:t>du</w:t>
      </w:r>
      <w:proofErr w:type="spellEnd"/>
      <w:r w:rsidR="00207AEE" w:rsidRPr="008410DA">
        <w:rPr>
          <w:rStyle w:val="Collegamentoipertestuale"/>
          <w:rFonts w:ascii="Georgia" w:hAnsi="Georgia" w:cs="Arial"/>
          <w:i/>
        </w:rPr>
        <w:t xml:space="preserve"> 17 </w:t>
      </w:r>
      <w:proofErr w:type="spellStart"/>
      <w:r w:rsidR="00207AEE" w:rsidRPr="008410DA">
        <w:rPr>
          <w:rStyle w:val="Collegamentoipertestuale"/>
          <w:rFonts w:ascii="Georgia" w:hAnsi="Georgia" w:cs="Arial"/>
          <w:i/>
        </w:rPr>
        <w:t>août</w:t>
      </w:r>
      <w:proofErr w:type="spellEnd"/>
      <w:r w:rsidR="00207AEE" w:rsidRPr="008410DA">
        <w:rPr>
          <w:rStyle w:val="Collegamentoipertestuale"/>
          <w:rFonts w:ascii="Georgia" w:hAnsi="Georgia" w:cs="Arial"/>
          <w:i/>
        </w:rPr>
        <w:t xml:space="preserve"> 2015 relative à la </w:t>
      </w:r>
      <w:proofErr w:type="spellStart"/>
      <w:r w:rsidR="00207AEE" w:rsidRPr="008410DA">
        <w:rPr>
          <w:rStyle w:val="Collegamentoipertestuale"/>
          <w:rFonts w:ascii="Georgia" w:hAnsi="Georgia" w:cs="Arial"/>
          <w:i/>
        </w:rPr>
        <w:t>transition</w:t>
      </w:r>
      <w:proofErr w:type="spellEnd"/>
      <w:r w:rsidR="00207AEE" w:rsidRPr="008410DA">
        <w:rPr>
          <w:rStyle w:val="Collegamentoipertestuale"/>
          <w:rFonts w:ascii="Georgia" w:hAnsi="Georgia" w:cs="Arial"/>
          <w:i/>
        </w:rPr>
        <w:t xml:space="preserve"> </w:t>
      </w:r>
      <w:proofErr w:type="spellStart"/>
      <w:r w:rsidR="00207AEE" w:rsidRPr="008410DA">
        <w:rPr>
          <w:rStyle w:val="Collegamentoipertestuale"/>
          <w:rFonts w:ascii="Georgia" w:hAnsi="Georgia" w:cs="Arial"/>
          <w:i/>
        </w:rPr>
        <w:t>énergétique</w:t>
      </w:r>
      <w:proofErr w:type="spellEnd"/>
      <w:r w:rsidR="00207AEE" w:rsidRPr="008410DA">
        <w:rPr>
          <w:rStyle w:val="Collegamentoipertestuale"/>
          <w:rFonts w:ascii="Georgia" w:hAnsi="Georgia" w:cs="Arial"/>
          <w:i/>
        </w:rPr>
        <w:t xml:space="preserve"> pour la </w:t>
      </w:r>
      <w:proofErr w:type="spellStart"/>
      <w:r w:rsidR="00207AEE" w:rsidRPr="008410DA">
        <w:rPr>
          <w:rStyle w:val="Collegamentoipertestuale"/>
          <w:rFonts w:ascii="Georgia" w:hAnsi="Georgia" w:cs="Arial"/>
          <w:i/>
        </w:rPr>
        <w:t>croissance</w:t>
      </w:r>
      <w:proofErr w:type="spellEnd"/>
      <w:r w:rsidR="00207AEE" w:rsidRPr="008410DA">
        <w:rPr>
          <w:rStyle w:val="Collegamentoipertestuale"/>
          <w:rFonts w:ascii="Georgia" w:hAnsi="Georgia" w:cs="Arial"/>
          <w:i/>
        </w:rPr>
        <w:t xml:space="preserve"> verte - LTE</w:t>
      </w:r>
      <w:r w:rsidR="005E2B73" w:rsidRPr="008410DA">
        <w:rPr>
          <w:rStyle w:val="Collegamentoipertestuale"/>
          <w:rFonts w:ascii="Georgia" w:hAnsi="Georgia" w:cs="Arial"/>
          <w:i/>
        </w:rPr>
        <w:fldChar w:fldCharType="end"/>
      </w:r>
      <w:r w:rsidR="00207AEE" w:rsidRPr="008410DA">
        <w:rPr>
          <w:rFonts w:ascii="Georgia" w:hAnsi="Georgia" w:cs="Arial"/>
        </w:rPr>
        <w:t xml:space="preserve">) il legislatore francese ha fissato i grandi obiettivi del </w:t>
      </w:r>
      <w:r w:rsidR="00207AEE" w:rsidRPr="008410DA">
        <w:rPr>
          <w:rFonts w:ascii="Georgia" w:hAnsi="Georgia" w:cs="Arial"/>
          <w:b/>
        </w:rPr>
        <w:t>nuovo modello energetico nazionale</w:t>
      </w:r>
      <w:r w:rsidR="00207AEE" w:rsidRPr="008410DA">
        <w:rPr>
          <w:rFonts w:ascii="Georgia" w:hAnsi="Georgia" w:cs="Arial"/>
        </w:rPr>
        <w:t xml:space="preserve">, finalizzato a favorire l'indipendenza energetica e la competitività economica nazionale, a preservare la salute e l'ambiente, nonché a contrastare il cambiamento climatico. </w:t>
      </w:r>
    </w:p>
    <w:p w:rsidR="00402105" w:rsidRDefault="00207AEE" w:rsidP="00207AEE">
      <w:pPr>
        <w:widowControl w:val="0"/>
        <w:autoSpaceDE w:val="0"/>
        <w:autoSpaceDN w:val="0"/>
        <w:adjustRightInd w:val="0"/>
        <w:spacing w:after="120"/>
        <w:ind w:firstLine="357"/>
        <w:jc w:val="both"/>
        <w:rPr>
          <w:rFonts w:ascii="Georgia" w:hAnsi="Georgia" w:cs="Arial"/>
        </w:rPr>
      </w:pPr>
      <w:r w:rsidRPr="008410DA">
        <w:rPr>
          <w:rFonts w:ascii="Georgia" w:hAnsi="Georgia" w:cs="Arial"/>
        </w:rPr>
        <w:t>I grandi assi attorno ai quali ruota la legge sono</w:t>
      </w:r>
      <w:r w:rsidR="00402105">
        <w:rPr>
          <w:rFonts w:ascii="Georgia" w:hAnsi="Georgia" w:cs="Arial"/>
        </w:rPr>
        <w:t xml:space="preserve"> i seguenti</w:t>
      </w:r>
      <w:r w:rsidRPr="008410DA">
        <w:rPr>
          <w:rFonts w:ascii="Georgia" w:hAnsi="Georgia" w:cs="Arial"/>
        </w:rPr>
        <w:t>:</w:t>
      </w:r>
    </w:p>
    <w:p w:rsidR="00402105" w:rsidRPr="00402105" w:rsidRDefault="00207AEE" w:rsidP="00402105">
      <w:pPr>
        <w:pStyle w:val="Paragrafoelenco"/>
        <w:widowControl w:val="0"/>
        <w:numPr>
          <w:ilvl w:val="0"/>
          <w:numId w:val="14"/>
        </w:numPr>
        <w:autoSpaceDE w:val="0"/>
        <w:autoSpaceDN w:val="0"/>
        <w:adjustRightInd w:val="0"/>
        <w:spacing w:after="60"/>
        <w:ind w:left="850" w:hanging="425"/>
        <w:contextualSpacing w:val="0"/>
        <w:jc w:val="both"/>
        <w:rPr>
          <w:rFonts w:ascii="Georgia" w:hAnsi="Georgia" w:cs="Arial"/>
        </w:rPr>
      </w:pPr>
      <w:r w:rsidRPr="00402105">
        <w:rPr>
          <w:rFonts w:ascii="Georgia" w:hAnsi="Georgia" w:cs="Arial"/>
        </w:rPr>
        <w:t>la definizione di obiettivi comuni;</w:t>
      </w:r>
    </w:p>
    <w:p w:rsidR="00402105" w:rsidRPr="00402105" w:rsidRDefault="00207AEE" w:rsidP="00402105">
      <w:pPr>
        <w:pStyle w:val="Paragrafoelenco"/>
        <w:widowControl w:val="0"/>
        <w:numPr>
          <w:ilvl w:val="0"/>
          <w:numId w:val="14"/>
        </w:numPr>
        <w:autoSpaceDE w:val="0"/>
        <w:autoSpaceDN w:val="0"/>
        <w:adjustRightInd w:val="0"/>
        <w:spacing w:after="60"/>
        <w:ind w:left="850" w:hanging="425"/>
        <w:contextualSpacing w:val="0"/>
        <w:jc w:val="both"/>
        <w:rPr>
          <w:rFonts w:ascii="Georgia" w:hAnsi="Georgia" w:cs="Arial"/>
        </w:rPr>
      </w:pPr>
      <w:r w:rsidRPr="00402105">
        <w:rPr>
          <w:rFonts w:ascii="Georgia" w:hAnsi="Georgia" w:cs="Arial"/>
        </w:rPr>
        <w:t>la ristrutturazione edilizia;</w:t>
      </w:r>
    </w:p>
    <w:p w:rsidR="00402105" w:rsidRPr="00402105" w:rsidRDefault="00207AEE" w:rsidP="00402105">
      <w:pPr>
        <w:pStyle w:val="Paragrafoelenco"/>
        <w:widowControl w:val="0"/>
        <w:numPr>
          <w:ilvl w:val="0"/>
          <w:numId w:val="14"/>
        </w:numPr>
        <w:autoSpaceDE w:val="0"/>
        <w:autoSpaceDN w:val="0"/>
        <w:adjustRightInd w:val="0"/>
        <w:spacing w:after="60"/>
        <w:ind w:left="850" w:hanging="425"/>
        <w:contextualSpacing w:val="0"/>
        <w:jc w:val="both"/>
        <w:rPr>
          <w:rFonts w:ascii="Georgia" w:hAnsi="Georgia" w:cs="Arial"/>
        </w:rPr>
      </w:pPr>
      <w:r w:rsidRPr="00402105">
        <w:rPr>
          <w:rFonts w:ascii="Georgia" w:hAnsi="Georgia" w:cs="Arial"/>
        </w:rPr>
        <w:t>lo sviluppo del trasporto non inquinante;</w:t>
      </w:r>
    </w:p>
    <w:p w:rsidR="00402105" w:rsidRPr="00402105" w:rsidRDefault="00207AEE" w:rsidP="00402105">
      <w:pPr>
        <w:pStyle w:val="Paragrafoelenco"/>
        <w:widowControl w:val="0"/>
        <w:numPr>
          <w:ilvl w:val="0"/>
          <w:numId w:val="14"/>
        </w:numPr>
        <w:autoSpaceDE w:val="0"/>
        <w:autoSpaceDN w:val="0"/>
        <w:adjustRightInd w:val="0"/>
        <w:spacing w:after="60"/>
        <w:ind w:left="850" w:hanging="425"/>
        <w:contextualSpacing w:val="0"/>
        <w:jc w:val="both"/>
        <w:rPr>
          <w:rFonts w:ascii="Georgia" w:hAnsi="Georgia" w:cs="Arial"/>
        </w:rPr>
      </w:pPr>
      <w:r w:rsidRPr="00402105">
        <w:rPr>
          <w:rFonts w:ascii="Georgia" w:hAnsi="Georgia" w:cs="Arial"/>
        </w:rPr>
        <w:t>la lotta agli sprechi e la promozione dell'economia circolare;</w:t>
      </w:r>
    </w:p>
    <w:p w:rsidR="00402105" w:rsidRPr="00402105" w:rsidRDefault="00207AEE" w:rsidP="00402105">
      <w:pPr>
        <w:pStyle w:val="Paragrafoelenco"/>
        <w:widowControl w:val="0"/>
        <w:numPr>
          <w:ilvl w:val="0"/>
          <w:numId w:val="14"/>
        </w:numPr>
        <w:autoSpaceDE w:val="0"/>
        <w:autoSpaceDN w:val="0"/>
        <w:adjustRightInd w:val="0"/>
        <w:spacing w:after="60"/>
        <w:ind w:left="850" w:hanging="425"/>
        <w:contextualSpacing w:val="0"/>
        <w:jc w:val="both"/>
        <w:rPr>
          <w:rFonts w:ascii="Georgia" w:hAnsi="Georgia" w:cs="Arial"/>
        </w:rPr>
      </w:pPr>
      <w:r w:rsidRPr="00402105">
        <w:rPr>
          <w:rFonts w:ascii="Georgia" w:hAnsi="Georgia" w:cs="Arial"/>
        </w:rPr>
        <w:t>il sostegno alle energie rinnovabili;</w:t>
      </w:r>
    </w:p>
    <w:p w:rsidR="00402105" w:rsidRPr="00402105" w:rsidRDefault="00207AEE" w:rsidP="00402105">
      <w:pPr>
        <w:pStyle w:val="Paragrafoelenco"/>
        <w:widowControl w:val="0"/>
        <w:numPr>
          <w:ilvl w:val="0"/>
          <w:numId w:val="14"/>
        </w:numPr>
        <w:autoSpaceDE w:val="0"/>
        <w:autoSpaceDN w:val="0"/>
        <w:adjustRightInd w:val="0"/>
        <w:spacing w:after="60"/>
        <w:ind w:left="850" w:hanging="425"/>
        <w:contextualSpacing w:val="0"/>
        <w:jc w:val="both"/>
        <w:rPr>
          <w:rFonts w:ascii="Georgia" w:hAnsi="Georgia" w:cs="Arial"/>
        </w:rPr>
      </w:pPr>
      <w:r w:rsidRPr="00402105">
        <w:rPr>
          <w:rFonts w:ascii="Georgia" w:hAnsi="Georgia" w:cs="Arial"/>
        </w:rPr>
        <w:t>la promozione della sicurezza nucleare e dell'informazione ai cittadini;</w:t>
      </w:r>
    </w:p>
    <w:p w:rsidR="00402105" w:rsidRPr="00402105" w:rsidRDefault="00207AEE" w:rsidP="00402105">
      <w:pPr>
        <w:pStyle w:val="Paragrafoelenco"/>
        <w:widowControl w:val="0"/>
        <w:numPr>
          <w:ilvl w:val="0"/>
          <w:numId w:val="14"/>
        </w:numPr>
        <w:autoSpaceDE w:val="0"/>
        <w:autoSpaceDN w:val="0"/>
        <w:adjustRightInd w:val="0"/>
        <w:spacing w:after="60"/>
        <w:ind w:left="850" w:hanging="425"/>
        <w:contextualSpacing w:val="0"/>
        <w:jc w:val="both"/>
        <w:rPr>
          <w:rFonts w:ascii="Georgia" w:hAnsi="Georgia" w:cs="Arial"/>
        </w:rPr>
      </w:pPr>
      <w:r w:rsidRPr="00402105">
        <w:rPr>
          <w:rFonts w:ascii="Georgia" w:hAnsi="Georgia" w:cs="Arial"/>
        </w:rPr>
        <w:t>la semplificazione delle procedure per favorire l'efficacia e la competitività;</w:t>
      </w:r>
    </w:p>
    <w:p w:rsidR="00402105" w:rsidRPr="00402105" w:rsidRDefault="00207AEE" w:rsidP="00402105">
      <w:pPr>
        <w:pStyle w:val="Paragrafoelenco"/>
        <w:widowControl w:val="0"/>
        <w:numPr>
          <w:ilvl w:val="0"/>
          <w:numId w:val="14"/>
        </w:numPr>
        <w:autoSpaceDE w:val="0"/>
        <w:autoSpaceDN w:val="0"/>
        <w:adjustRightInd w:val="0"/>
        <w:spacing w:after="120"/>
        <w:ind w:left="851" w:hanging="425"/>
        <w:jc w:val="both"/>
        <w:rPr>
          <w:rFonts w:ascii="Georgia" w:hAnsi="Georgia" w:cs="Arial"/>
        </w:rPr>
      </w:pPr>
      <w:r w:rsidRPr="00402105">
        <w:rPr>
          <w:rFonts w:ascii="Georgia" w:hAnsi="Georgia" w:cs="Arial"/>
        </w:rPr>
        <w:t>la necessità di conferire ai cittadini, alle imprese, ai territori e allo Stato, il potere di agire insieme.</w:t>
      </w:r>
    </w:p>
    <w:p w:rsidR="00207AEE" w:rsidRPr="008410DA" w:rsidRDefault="00207AEE" w:rsidP="00207AEE">
      <w:pPr>
        <w:widowControl w:val="0"/>
        <w:autoSpaceDE w:val="0"/>
        <w:autoSpaceDN w:val="0"/>
        <w:adjustRightInd w:val="0"/>
        <w:spacing w:after="120"/>
        <w:ind w:firstLine="357"/>
        <w:jc w:val="both"/>
        <w:rPr>
          <w:rFonts w:ascii="Georgia" w:hAnsi="Georgia" w:cs="Arial"/>
        </w:rPr>
      </w:pPr>
      <w:r w:rsidRPr="008410DA">
        <w:rPr>
          <w:rFonts w:ascii="Georgia" w:hAnsi="Georgia" w:cs="Arial"/>
        </w:rPr>
        <w:t xml:space="preserve">Obiettivi comuni della politica energetica nazionale sono: la </w:t>
      </w:r>
      <w:r w:rsidRPr="00402105">
        <w:rPr>
          <w:rFonts w:ascii="Georgia" w:hAnsi="Georgia" w:cs="Arial"/>
          <w:b/>
        </w:rPr>
        <w:t>riduzione del 40% delle emissioni di gas a effetto serra</w:t>
      </w:r>
      <w:r w:rsidRPr="008410DA">
        <w:rPr>
          <w:rFonts w:ascii="Georgia" w:hAnsi="Georgia" w:cs="Arial"/>
        </w:rPr>
        <w:t xml:space="preserve"> entro il 2030; la </w:t>
      </w:r>
      <w:r w:rsidRPr="00402105">
        <w:rPr>
          <w:rFonts w:ascii="Georgia" w:hAnsi="Georgia" w:cs="Arial"/>
          <w:b/>
        </w:rPr>
        <w:t>riduzione del 50% del consumo finale di energia</w:t>
      </w:r>
      <w:r w:rsidRPr="008410DA">
        <w:rPr>
          <w:rFonts w:ascii="Georgia" w:hAnsi="Georgia" w:cs="Arial"/>
        </w:rPr>
        <w:t xml:space="preserve"> entro il 2050, con l’obiettivo intermedio del 20% nel 2030; la </w:t>
      </w:r>
      <w:r w:rsidRPr="00402105">
        <w:rPr>
          <w:rFonts w:ascii="Georgia" w:hAnsi="Georgia" w:cs="Arial"/>
          <w:b/>
        </w:rPr>
        <w:t>riduzione del 30% del consumo energetico primario</w:t>
      </w:r>
      <w:r w:rsidRPr="008410DA">
        <w:rPr>
          <w:rFonts w:ascii="Georgia" w:hAnsi="Georgia" w:cs="Arial"/>
        </w:rPr>
        <w:t xml:space="preserve"> da combus</w:t>
      </w:r>
      <w:r w:rsidR="005E2B73" w:rsidRPr="008410DA">
        <w:rPr>
          <w:rFonts w:ascii="Georgia" w:hAnsi="Georgia" w:cs="Arial"/>
        </w:rPr>
        <w:t>tibili fossili entro il 2030; l’</w:t>
      </w:r>
      <w:r w:rsidRPr="00402105">
        <w:rPr>
          <w:rFonts w:ascii="Georgia" w:hAnsi="Georgia" w:cs="Arial"/>
          <w:b/>
        </w:rPr>
        <w:t>innalzamento della quota di energie rinnovabili</w:t>
      </w:r>
      <w:r w:rsidRPr="008410DA">
        <w:rPr>
          <w:rFonts w:ascii="Georgia" w:hAnsi="Georgia" w:cs="Arial"/>
        </w:rPr>
        <w:t xml:space="preserve"> del consumo finale lordo di energia </w:t>
      </w:r>
      <w:r w:rsidRPr="00402105">
        <w:rPr>
          <w:rFonts w:ascii="Georgia" w:hAnsi="Georgia" w:cs="Arial"/>
          <w:b/>
        </w:rPr>
        <w:t>al 23%</w:t>
      </w:r>
      <w:r w:rsidRPr="008410DA">
        <w:rPr>
          <w:rFonts w:ascii="Georgia" w:hAnsi="Georgia" w:cs="Arial"/>
        </w:rPr>
        <w:t xml:space="preserve"> entro il 2020 e </w:t>
      </w:r>
      <w:r w:rsidRPr="00402105">
        <w:rPr>
          <w:rFonts w:ascii="Georgia" w:hAnsi="Georgia" w:cs="Arial"/>
          <w:b/>
        </w:rPr>
        <w:t>al 32%</w:t>
      </w:r>
      <w:r w:rsidRPr="008410DA">
        <w:rPr>
          <w:rFonts w:ascii="Georgia" w:hAnsi="Georgia" w:cs="Arial"/>
        </w:rPr>
        <w:t xml:space="preserve"> entro il 2030. A tale data, le energie rinnovabili dovranno </w:t>
      </w:r>
      <w:r w:rsidRPr="008410DA">
        <w:rPr>
          <w:rFonts w:ascii="Georgia" w:hAnsi="Georgia" w:cs="Arial"/>
        </w:rPr>
        <w:lastRenderedPageBreak/>
        <w:t xml:space="preserve">rappresentare il 40% della produzione di elettricità, il 38% del consumo finale di calore, il 15% del consumo finale di carburante e il 10% del consumo di gas. </w:t>
      </w:r>
    </w:p>
    <w:p w:rsidR="00207AEE" w:rsidRPr="008410DA" w:rsidRDefault="00207AEE" w:rsidP="00207AEE">
      <w:pPr>
        <w:widowControl w:val="0"/>
        <w:autoSpaceDE w:val="0"/>
        <w:autoSpaceDN w:val="0"/>
        <w:adjustRightInd w:val="0"/>
        <w:spacing w:after="120"/>
        <w:ind w:firstLine="357"/>
        <w:jc w:val="both"/>
        <w:rPr>
          <w:rFonts w:ascii="Georgia" w:hAnsi="Georgia" w:cs="Arial"/>
        </w:rPr>
      </w:pPr>
      <w:r w:rsidRPr="008410DA">
        <w:rPr>
          <w:rFonts w:ascii="Georgia" w:hAnsi="Georgia" w:cs="Arial"/>
        </w:rPr>
        <w:t xml:space="preserve">Tra gli ulteriori obiettivi, si segnalano: la </w:t>
      </w:r>
      <w:r w:rsidRPr="00402105">
        <w:rPr>
          <w:rFonts w:ascii="Georgia" w:hAnsi="Georgia" w:cs="Arial"/>
          <w:b/>
        </w:rPr>
        <w:t>riduzione al 50% della quota di nucleare</w:t>
      </w:r>
      <w:r w:rsidRPr="008410DA">
        <w:rPr>
          <w:rFonts w:ascii="Georgia" w:hAnsi="Georgia" w:cs="Arial"/>
        </w:rPr>
        <w:t xml:space="preserve"> nella produzione di elettricità entro il 2025; il contributo al raggiungimento degli obiettivi di riduzione dell'inquinamento atmosferico previsti dal Piano nazionale per la riduzione degli inquinanti atmosfe</w:t>
      </w:r>
      <w:r w:rsidR="002F56DF">
        <w:rPr>
          <w:rFonts w:ascii="Georgia" w:hAnsi="Georgia" w:cs="Arial"/>
        </w:rPr>
        <w:t>rici; il raggiungimento dell’</w:t>
      </w:r>
      <w:r w:rsidRPr="008410DA">
        <w:rPr>
          <w:rFonts w:ascii="Georgia" w:hAnsi="Georgia" w:cs="Arial"/>
        </w:rPr>
        <w:t xml:space="preserve">indipendenza energetica nei dipartimenti d'oltremare entro il 2030; la disponibilità entro il 2050 di un patrimonio immobiliare rinnovato in funzione dell'applicazione delle norme sugli edifici a basso consumo o assimilati, grazie ad una politica di rinnovo termico degli alloggi, in particolare di quelli delle famiglie a basso reddito. </w:t>
      </w:r>
    </w:p>
    <w:p w:rsidR="00207AEE" w:rsidRPr="008410DA" w:rsidRDefault="00207AEE" w:rsidP="00207AEE">
      <w:pPr>
        <w:widowControl w:val="0"/>
        <w:autoSpaceDE w:val="0"/>
        <w:autoSpaceDN w:val="0"/>
        <w:adjustRightInd w:val="0"/>
        <w:spacing w:after="120"/>
        <w:ind w:firstLine="357"/>
        <w:jc w:val="both"/>
        <w:rPr>
          <w:rFonts w:ascii="Georgia" w:hAnsi="Georgia" w:cs="Arial"/>
        </w:rPr>
      </w:pPr>
      <w:r w:rsidRPr="008410DA">
        <w:rPr>
          <w:rFonts w:ascii="Georgia" w:hAnsi="Georgia" w:cs="Arial"/>
        </w:rPr>
        <w:t xml:space="preserve">Al riguardo, l'articolo 3 sancisce quale obiettivo prioritario la </w:t>
      </w:r>
      <w:r w:rsidRPr="00CA4743">
        <w:rPr>
          <w:rFonts w:ascii="Georgia" w:hAnsi="Georgia" w:cs="Arial"/>
          <w:b/>
        </w:rPr>
        <w:t>riqualificazione energeti</w:t>
      </w:r>
      <w:r w:rsidR="005E2B73" w:rsidRPr="00CA4743">
        <w:rPr>
          <w:rFonts w:ascii="Georgia" w:hAnsi="Georgia" w:cs="Arial"/>
          <w:b/>
        </w:rPr>
        <w:t>ca di 500.000 unità abitative</w:t>
      </w:r>
      <w:r w:rsidR="005E2B73" w:rsidRPr="008410DA">
        <w:rPr>
          <w:rFonts w:ascii="Georgia" w:hAnsi="Georgia" w:cs="Arial"/>
        </w:rPr>
        <w:t xml:space="preserve"> l’</w:t>
      </w:r>
      <w:r w:rsidRPr="008410DA">
        <w:rPr>
          <w:rFonts w:ascii="Georgia" w:hAnsi="Georgia" w:cs="Arial"/>
        </w:rPr>
        <w:t xml:space="preserve">anno a partire dal 2017, di cui almeno la metà occupata da famiglie a basso reddito. L'articolo 4 stabilisce in capo al Governo l'obbligo quinquennale di relazionare al Parlamento in merito alla strategia nazionale finalizzata a mobilitare gli investimenti per la riqualificazione energetica del patrimonio edilizio nazionale. In tema di </w:t>
      </w:r>
      <w:r w:rsidRPr="00CA4743">
        <w:rPr>
          <w:rFonts w:ascii="Georgia" w:hAnsi="Georgia" w:cs="Arial"/>
          <w:b/>
        </w:rPr>
        <w:t>lotta agli sprechi</w:t>
      </w:r>
      <w:r w:rsidRPr="008410DA">
        <w:rPr>
          <w:rFonts w:ascii="Georgia" w:hAnsi="Georgia" w:cs="Arial"/>
        </w:rPr>
        <w:t xml:space="preserve">, l'art. 69 stabilisce che il Governo sottoponga ogni 5 anni al Parlamento una strategia nazionale per la </w:t>
      </w:r>
      <w:r w:rsidRPr="00CA4743">
        <w:rPr>
          <w:rFonts w:ascii="Georgia" w:hAnsi="Georgia" w:cs="Arial"/>
          <w:b/>
        </w:rPr>
        <w:t>transizione verso l'economia circolare</w:t>
      </w:r>
      <w:r w:rsidRPr="008410DA">
        <w:rPr>
          <w:rFonts w:ascii="Georgia" w:hAnsi="Georgia" w:cs="Arial"/>
        </w:rPr>
        <w:t>, comprensiva di un piano di programmazione delle risorse necessarie ai principali settori economici al fine di un più efficiente utilizzo.</w:t>
      </w:r>
    </w:p>
    <w:p w:rsidR="00207AEE" w:rsidRPr="008410DA" w:rsidRDefault="00207AEE" w:rsidP="00207AEE">
      <w:pPr>
        <w:pStyle w:val="NormaleWeb"/>
        <w:spacing w:before="0" w:beforeAutospacing="0" w:after="120" w:afterAutospacing="0"/>
        <w:ind w:firstLine="357"/>
        <w:rPr>
          <w:rFonts w:ascii="Georgia" w:hAnsi="Georgia"/>
          <w:sz w:val="24"/>
          <w:szCs w:val="24"/>
        </w:rPr>
      </w:pPr>
      <w:r w:rsidRPr="008410DA">
        <w:rPr>
          <w:rFonts w:ascii="Georgia" w:hAnsi="Georgia"/>
          <w:sz w:val="24"/>
          <w:szCs w:val="24"/>
        </w:rPr>
        <w:t xml:space="preserve">È prevista inoltre la possibilità di finanziare dei progetti di sviluppo di fonti energetiche rinnovabili da parte dei cittadini e </w:t>
      </w:r>
      <w:r w:rsidR="00CA4743">
        <w:rPr>
          <w:rFonts w:ascii="Georgia" w:hAnsi="Georgia"/>
          <w:sz w:val="24"/>
          <w:szCs w:val="24"/>
        </w:rPr>
        <w:t>del</w:t>
      </w:r>
      <w:r w:rsidRPr="008410DA">
        <w:rPr>
          <w:rFonts w:ascii="Georgia" w:hAnsi="Georgia"/>
          <w:sz w:val="24"/>
          <w:szCs w:val="24"/>
        </w:rPr>
        <w:t xml:space="preserve">le collettività locali, la generalizzazione della concessione unica per l’eolico, la metanizzazione e l’idroelettricità, il sostegno allo sviluppo di 1.500 </w:t>
      </w:r>
      <w:proofErr w:type="spellStart"/>
      <w:r w:rsidRPr="008410DA">
        <w:rPr>
          <w:rFonts w:ascii="Georgia" w:hAnsi="Georgia"/>
          <w:sz w:val="24"/>
          <w:szCs w:val="24"/>
        </w:rPr>
        <w:t>metanizzatori</w:t>
      </w:r>
      <w:proofErr w:type="spellEnd"/>
      <w:r w:rsidRPr="008410DA">
        <w:rPr>
          <w:rFonts w:ascii="Georgia" w:hAnsi="Georgia"/>
          <w:sz w:val="24"/>
          <w:szCs w:val="24"/>
        </w:rPr>
        <w:t xml:space="preserve"> in tre anni per produrre energia</w:t>
      </w:r>
      <w:r w:rsidR="005E2B73" w:rsidRPr="008410DA">
        <w:rPr>
          <w:rFonts w:ascii="Georgia" w:hAnsi="Georgia"/>
          <w:sz w:val="24"/>
          <w:szCs w:val="24"/>
        </w:rPr>
        <w:t xml:space="preserve"> </w:t>
      </w:r>
      <w:r w:rsidRPr="008410DA">
        <w:rPr>
          <w:rFonts w:ascii="Georgia" w:hAnsi="Georgia"/>
          <w:sz w:val="24"/>
          <w:szCs w:val="24"/>
        </w:rPr>
        <w:t>(biogas) a partire da scarti agricoli, una tariffa d’acquisto obbligatoria che finanzia l’energia rinnovabile autoprodotta e consumata dagli imprenditori e dai singoli.</w:t>
      </w:r>
    </w:p>
    <w:p w:rsidR="00207AEE" w:rsidRPr="008410DA" w:rsidRDefault="00CA4743" w:rsidP="00207AEE">
      <w:pPr>
        <w:pStyle w:val="NormaleWeb"/>
        <w:spacing w:before="0" w:beforeAutospacing="0" w:after="120" w:afterAutospacing="0"/>
        <w:ind w:firstLine="357"/>
        <w:rPr>
          <w:rFonts w:ascii="Georgia" w:hAnsi="Georgia"/>
          <w:sz w:val="24"/>
          <w:szCs w:val="24"/>
        </w:rPr>
      </w:pPr>
      <w:r>
        <w:rPr>
          <w:rFonts w:ascii="Georgia" w:hAnsi="Georgia"/>
          <w:sz w:val="24"/>
          <w:szCs w:val="24"/>
        </w:rPr>
        <w:t>L</w:t>
      </w:r>
      <w:r w:rsidR="00207AEE" w:rsidRPr="008410DA">
        <w:rPr>
          <w:rFonts w:ascii="Georgia" w:hAnsi="Georgia"/>
          <w:sz w:val="24"/>
          <w:szCs w:val="24"/>
        </w:rPr>
        <w:t xml:space="preserve">a legge prevede </w:t>
      </w:r>
      <w:r>
        <w:rPr>
          <w:rFonts w:ascii="Georgia" w:hAnsi="Georgia"/>
          <w:sz w:val="24"/>
          <w:szCs w:val="24"/>
        </w:rPr>
        <w:t xml:space="preserve">inoltre </w:t>
      </w:r>
      <w:r w:rsidR="00207AEE" w:rsidRPr="008410DA">
        <w:rPr>
          <w:rFonts w:ascii="Georgia" w:hAnsi="Georgia"/>
          <w:sz w:val="24"/>
          <w:szCs w:val="24"/>
        </w:rPr>
        <w:t xml:space="preserve">che i consumi d’elettricità e di energia saranno monitorati più attentamente grazie all’installazione di </w:t>
      </w:r>
      <w:r w:rsidR="00207AEE" w:rsidRPr="00CA4743">
        <w:rPr>
          <w:rFonts w:ascii="Georgia" w:hAnsi="Georgia"/>
          <w:b/>
          <w:sz w:val="24"/>
          <w:szCs w:val="24"/>
        </w:rPr>
        <w:t>computer intelligenti</w:t>
      </w:r>
      <w:r w:rsidR="00207AEE" w:rsidRPr="008410DA">
        <w:rPr>
          <w:rFonts w:ascii="Georgia" w:hAnsi="Georgia"/>
          <w:sz w:val="24"/>
          <w:szCs w:val="24"/>
        </w:rPr>
        <w:t xml:space="preserve"> di elettricità (</w:t>
      </w:r>
      <w:proofErr w:type="spellStart"/>
      <w:r w:rsidR="00207AEE" w:rsidRPr="008410DA">
        <w:rPr>
          <w:rFonts w:ascii="Georgia" w:hAnsi="Georgia"/>
          <w:sz w:val="24"/>
          <w:szCs w:val="24"/>
        </w:rPr>
        <w:t>Linky</w:t>
      </w:r>
      <w:proofErr w:type="spellEnd"/>
      <w:r w:rsidR="00207AEE" w:rsidRPr="008410DA">
        <w:rPr>
          <w:rFonts w:ascii="Georgia" w:hAnsi="Georgia"/>
          <w:sz w:val="24"/>
          <w:szCs w:val="24"/>
        </w:rPr>
        <w:t>) e di gas (</w:t>
      </w:r>
      <w:proofErr w:type="spellStart"/>
      <w:r w:rsidR="00207AEE" w:rsidRPr="008410DA">
        <w:rPr>
          <w:rFonts w:ascii="Georgia" w:hAnsi="Georgia"/>
          <w:sz w:val="24"/>
          <w:szCs w:val="24"/>
        </w:rPr>
        <w:t>Gazpar</w:t>
      </w:r>
      <w:proofErr w:type="spellEnd"/>
      <w:r w:rsidR="00207AEE" w:rsidRPr="008410DA">
        <w:rPr>
          <w:rFonts w:ascii="Georgia" w:hAnsi="Georgia"/>
          <w:sz w:val="24"/>
          <w:szCs w:val="24"/>
        </w:rPr>
        <w:t>). È previsto inoltre un contributo per aiutare le famiglie in difficoltà nel pagare le loro bollette: 4 milioni i beneficiari, contro</w:t>
      </w:r>
      <w:r>
        <w:rPr>
          <w:rFonts w:ascii="Georgia" w:hAnsi="Georgia"/>
          <w:sz w:val="24"/>
          <w:szCs w:val="24"/>
        </w:rPr>
        <w:t xml:space="preserve"> gli</w:t>
      </w:r>
      <w:r w:rsidR="00207AEE" w:rsidRPr="008410DA">
        <w:rPr>
          <w:rFonts w:ascii="Georgia" w:hAnsi="Georgia"/>
          <w:sz w:val="24"/>
          <w:szCs w:val="24"/>
        </w:rPr>
        <w:t xml:space="preserve"> 1,3 milioni precedenti alla legge. La performance energetica viene inoltre presa in considerazione per quel che riguarda gli alloggi. </w:t>
      </w:r>
      <w:r>
        <w:rPr>
          <w:rFonts w:ascii="Georgia" w:hAnsi="Georgia"/>
          <w:sz w:val="24"/>
          <w:szCs w:val="24"/>
        </w:rPr>
        <w:t xml:space="preserve">Il </w:t>
      </w:r>
      <w:r w:rsidR="00207AEE" w:rsidRPr="008410DA">
        <w:rPr>
          <w:rFonts w:ascii="Georgia" w:hAnsi="Georgia"/>
          <w:sz w:val="24"/>
          <w:szCs w:val="24"/>
        </w:rPr>
        <w:t>30% dei finanziamenti derivanti dai certificati d’economia energetica saranno inoltre destinati alla lotta contro la precarietà energetica.</w:t>
      </w:r>
    </w:p>
    <w:p w:rsidR="00207AEE" w:rsidRPr="008410DA" w:rsidRDefault="00207AEE" w:rsidP="00207AEE">
      <w:pPr>
        <w:pStyle w:val="NormaleWeb"/>
        <w:spacing w:before="0" w:beforeAutospacing="0" w:after="120" w:afterAutospacing="0"/>
        <w:ind w:firstLine="357"/>
        <w:rPr>
          <w:rFonts w:ascii="Georgia" w:hAnsi="Georgia"/>
          <w:sz w:val="24"/>
          <w:szCs w:val="24"/>
        </w:rPr>
      </w:pPr>
      <w:r w:rsidRPr="008410DA">
        <w:rPr>
          <w:rFonts w:ascii="Georgia" w:hAnsi="Georgia"/>
          <w:sz w:val="24"/>
          <w:szCs w:val="24"/>
        </w:rPr>
        <w:t>Per quel che riguarda i prodotti a consumo di energia, viene inoltre introdotta in via sperime</w:t>
      </w:r>
      <w:r w:rsidR="00CA4743">
        <w:rPr>
          <w:rFonts w:ascii="Georgia" w:hAnsi="Georgia"/>
          <w:sz w:val="24"/>
          <w:szCs w:val="24"/>
        </w:rPr>
        <w:t>ntale una targhetta indicante la</w:t>
      </w:r>
      <w:r w:rsidRPr="008410DA">
        <w:rPr>
          <w:rFonts w:ascii="Georgia" w:hAnsi="Georgia"/>
          <w:sz w:val="24"/>
          <w:szCs w:val="24"/>
        </w:rPr>
        <w:t xml:space="preserve"> durata del prodotto, mentre vengono </w:t>
      </w:r>
      <w:r w:rsidRPr="00CA4743">
        <w:rPr>
          <w:rFonts w:ascii="Georgia" w:hAnsi="Georgia"/>
          <w:b/>
          <w:sz w:val="24"/>
          <w:szCs w:val="24"/>
        </w:rPr>
        <w:t>vietati i sacchetti di plastica gettabili</w:t>
      </w:r>
      <w:r w:rsidRPr="008410DA">
        <w:rPr>
          <w:rFonts w:ascii="Georgia" w:hAnsi="Georgia"/>
          <w:sz w:val="24"/>
          <w:szCs w:val="24"/>
        </w:rPr>
        <w:t xml:space="preserve"> e viene resa obbligatoria la </w:t>
      </w:r>
      <w:r w:rsidRPr="00CA4743">
        <w:rPr>
          <w:rFonts w:ascii="Georgia" w:hAnsi="Georgia"/>
          <w:b/>
          <w:sz w:val="24"/>
          <w:szCs w:val="24"/>
        </w:rPr>
        <w:t>donazione dei beni alimentari invenduti</w:t>
      </w:r>
      <w:r w:rsidRPr="008410DA">
        <w:rPr>
          <w:rFonts w:ascii="Georgia" w:hAnsi="Georgia"/>
          <w:sz w:val="24"/>
          <w:szCs w:val="24"/>
        </w:rPr>
        <w:t xml:space="preserve"> alle associazioni umanitarie. Viene previsto un </w:t>
      </w:r>
      <w:r w:rsidRPr="008410DA">
        <w:rPr>
          <w:rFonts w:ascii="Georgia" w:hAnsi="Georgia"/>
          <w:b/>
          <w:sz w:val="24"/>
          <w:szCs w:val="24"/>
        </w:rPr>
        <w:t>credito d’imposta</w:t>
      </w:r>
      <w:r w:rsidRPr="008410DA">
        <w:rPr>
          <w:rFonts w:ascii="Georgia" w:hAnsi="Georgia"/>
          <w:sz w:val="24"/>
          <w:szCs w:val="24"/>
        </w:rPr>
        <w:t xml:space="preserve"> per installare a domicilio </w:t>
      </w:r>
      <w:r w:rsidRPr="008410DA">
        <w:rPr>
          <w:rFonts w:ascii="Georgia" w:hAnsi="Georgia"/>
          <w:b/>
          <w:sz w:val="24"/>
          <w:szCs w:val="24"/>
        </w:rPr>
        <w:t>punti di ricarica per veicoli elettrici</w:t>
      </w:r>
      <w:r w:rsidRPr="008410DA">
        <w:rPr>
          <w:rFonts w:ascii="Georgia" w:hAnsi="Georgia"/>
          <w:sz w:val="24"/>
          <w:szCs w:val="24"/>
        </w:rPr>
        <w:t>.</w:t>
      </w:r>
    </w:p>
    <w:p w:rsidR="00207AEE" w:rsidRPr="008410DA" w:rsidRDefault="00207AEE" w:rsidP="00207AEE">
      <w:pPr>
        <w:pStyle w:val="NormaleWeb"/>
        <w:spacing w:before="0" w:beforeAutospacing="0" w:after="120" w:afterAutospacing="0"/>
        <w:ind w:firstLine="357"/>
        <w:rPr>
          <w:rFonts w:ascii="Georgia" w:hAnsi="Georgia"/>
          <w:sz w:val="24"/>
          <w:szCs w:val="24"/>
        </w:rPr>
      </w:pPr>
      <w:r w:rsidRPr="008410DA">
        <w:rPr>
          <w:rFonts w:ascii="Georgia" w:hAnsi="Georgia"/>
          <w:sz w:val="24"/>
          <w:szCs w:val="24"/>
        </w:rPr>
        <w:t>Per qu</w:t>
      </w:r>
      <w:r w:rsidR="00CA4743">
        <w:rPr>
          <w:rFonts w:ascii="Georgia" w:hAnsi="Georgia"/>
          <w:sz w:val="24"/>
          <w:szCs w:val="24"/>
        </w:rPr>
        <w:t>anto attiene a</w:t>
      </w:r>
      <w:r w:rsidRPr="008410DA">
        <w:rPr>
          <w:rFonts w:ascii="Georgia" w:hAnsi="Georgia"/>
          <w:sz w:val="24"/>
          <w:szCs w:val="24"/>
        </w:rPr>
        <w:t>l settore dei trasporti, l’articolo 37 prevede che lo Stato e gli enti pubblici de</w:t>
      </w:r>
      <w:r w:rsidR="00CA4743">
        <w:rPr>
          <w:rFonts w:ascii="Georgia" w:hAnsi="Georgia"/>
          <w:sz w:val="24"/>
          <w:szCs w:val="24"/>
        </w:rPr>
        <w:t>bba</w:t>
      </w:r>
      <w:r w:rsidRPr="008410DA">
        <w:rPr>
          <w:rFonts w:ascii="Georgia" w:hAnsi="Georgia"/>
          <w:sz w:val="24"/>
          <w:szCs w:val="24"/>
        </w:rPr>
        <w:t xml:space="preserve">no far </w:t>
      </w:r>
      <w:r w:rsidR="00CA4743">
        <w:rPr>
          <w:rFonts w:ascii="Georgia" w:hAnsi="Georgia"/>
          <w:sz w:val="24"/>
          <w:szCs w:val="24"/>
        </w:rPr>
        <w:t>sì che</w:t>
      </w:r>
      <w:r w:rsidRPr="008410DA">
        <w:rPr>
          <w:rFonts w:ascii="Georgia" w:hAnsi="Georgia"/>
          <w:sz w:val="24"/>
          <w:szCs w:val="24"/>
        </w:rPr>
        <w:t xml:space="preserve"> vi sia una percentuale minima pari al 50% dei </w:t>
      </w:r>
      <w:r w:rsidRPr="00CA4743">
        <w:rPr>
          <w:rFonts w:ascii="Georgia" w:hAnsi="Georgia"/>
          <w:b/>
          <w:sz w:val="24"/>
          <w:szCs w:val="24"/>
        </w:rPr>
        <w:t>veicoli a basse immissioni inquinanti</w:t>
      </w:r>
      <w:r w:rsidR="00CA4743">
        <w:rPr>
          <w:rFonts w:ascii="Georgia" w:hAnsi="Georgia"/>
          <w:sz w:val="24"/>
          <w:szCs w:val="24"/>
        </w:rPr>
        <w:t>,</w:t>
      </w:r>
      <w:r w:rsidRPr="008410DA">
        <w:rPr>
          <w:rFonts w:ascii="Georgia" w:hAnsi="Georgia"/>
          <w:sz w:val="24"/>
          <w:szCs w:val="24"/>
        </w:rPr>
        <w:t xml:space="preserve"> quali appunto i veicoli elettrici, mentre le collettività locali devono assicurare che</w:t>
      </w:r>
      <w:r w:rsidR="00CA4743">
        <w:rPr>
          <w:rFonts w:ascii="Georgia" w:hAnsi="Georgia"/>
          <w:sz w:val="24"/>
          <w:szCs w:val="24"/>
        </w:rPr>
        <w:t>,</w:t>
      </w:r>
      <w:r w:rsidRPr="008410DA">
        <w:rPr>
          <w:rFonts w:ascii="Georgia" w:hAnsi="Georgia"/>
          <w:sz w:val="24"/>
          <w:szCs w:val="24"/>
        </w:rPr>
        <w:t xml:space="preserve"> a partire dal 2020</w:t>
      </w:r>
      <w:r w:rsidR="00CA4743">
        <w:rPr>
          <w:rFonts w:ascii="Georgia" w:hAnsi="Georgia"/>
          <w:sz w:val="24"/>
          <w:szCs w:val="24"/>
        </w:rPr>
        <w:t>,</w:t>
      </w:r>
      <w:r w:rsidRPr="008410DA">
        <w:rPr>
          <w:rFonts w:ascii="Georgia" w:hAnsi="Georgia"/>
          <w:sz w:val="24"/>
          <w:szCs w:val="24"/>
        </w:rPr>
        <w:t xml:space="preserve"> tra il 20 e </w:t>
      </w:r>
      <w:r w:rsidRPr="008410DA">
        <w:rPr>
          <w:rFonts w:ascii="Georgia" w:hAnsi="Georgia"/>
          <w:sz w:val="24"/>
          <w:szCs w:val="24"/>
        </w:rPr>
        <w:lastRenderedPageBreak/>
        <w:t>il 50% dei mezzi utilizzati per il trasporto pubblico siano a bassa percentuale inquinante</w:t>
      </w:r>
      <w:r w:rsidR="00250E2D" w:rsidRPr="008410DA">
        <w:rPr>
          <w:rFonts w:ascii="Georgia" w:hAnsi="Georgia"/>
          <w:sz w:val="24"/>
          <w:szCs w:val="24"/>
        </w:rPr>
        <w:t xml:space="preserve"> </w:t>
      </w:r>
      <w:r w:rsidRPr="008410DA">
        <w:rPr>
          <w:rFonts w:ascii="Georgia" w:hAnsi="Georgia"/>
          <w:sz w:val="24"/>
          <w:szCs w:val="24"/>
        </w:rPr>
        <w:t>(il 100% a partire dal 2025).</w:t>
      </w:r>
    </w:p>
    <w:p w:rsidR="00207AEE" w:rsidRPr="008410DA" w:rsidRDefault="00207AEE" w:rsidP="00207AEE">
      <w:pPr>
        <w:widowControl w:val="0"/>
        <w:autoSpaceDE w:val="0"/>
        <w:autoSpaceDN w:val="0"/>
        <w:adjustRightInd w:val="0"/>
        <w:spacing w:after="120"/>
        <w:ind w:firstLine="357"/>
        <w:jc w:val="both"/>
        <w:rPr>
          <w:rStyle w:val="Collegamentoipertestuale"/>
          <w:rFonts w:ascii="Georgia" w:hAnsi="Georgia" w:cs="Arial"/>
        </w:rPr>
      </w:pPr>
      <w:r w:rsidRPr="008410DA">
        <w:rPr>
          <w:rFonts w:ascii="Georgia" w:hAnsi="Georgia" w:cs="Arial"/>
        </w:rPr>
        <w:t xml:space="preserve">La </w:t>
      </w:r>
      <w:r w:rsidRPr="00CA4743">
        <w:rPr>
          <w:rFonts w:ascii="Georgia" w:hAnsi="Georgia" w:cs="Arial"/>
          <w:b/>
        </w:rPr>
        <w:t>programmazione pluriennale</w:t>
      </w:r>
      <w:r w:rsidRPr="008410DA">
        <w:rPr>
          <w:rFonts w:ascii="Georgia" w:hAnsi="Georgia" w:cs="Arial"/>
        </w:rPr>
        <w:t xml:space="preserve"> nel settore energetico</w:t>
      </w:r>
      <w:r w:rsidR="00250E2D" w:rsidRPr="008410DA">
        <w:rPr>
          <w:rFonts w:ascii="Georgia" w:hAnsi="Georgia" w:cs="Arial"/>
        </w:rPr>
        <w:t xml:space="preserve"> </w:t>
      </w:r>
      <w:r w:rsidRPr="008410DA">
        <w:rPr>
          <w:rFonts w:ascii="Georgia" w:hAnsi="Georgia" w:cs="Arial"/>
        </w:rPr>
        <w:t>(PPE)</w:t>
      </w:r>
      <w:r w:rsidR="00CA4743">
        <w:rPr>
          <w:rFonts w:ascii="Georgia" w:hAnsi="Georgia" w:cs="Arial"/>
        </w:rPr>
        <w:t>,</w:t>
      </w:r>
      <w:r w:rsidRPr="008410DA">
        <w:rPr>
          <w:rFonts w:ascii="Georgia" w:hAnsi="Georgia" w:cs="Arial"/>
        </w:rPr>
        <w:t xml:space="preserve"> in attuazione della legge sulla transazione energetica</w:t>
      </w:r>
      <w:r w:rsidR="00CA4743">
        <w:rPr>
          <w:rFonts w:ascii="Georgia" w:hAnsi="Georgia" w:cs="Arial"/>
        </w:rPr>
        <w:t>,</w:t>
      </w:r>
      <w:r w:rsidRPr="008410DA">
        <w:rPr>
          <w:rFonts w:ascii="Georgia" w:hAnsi="Georgia" w:cs="Arial"/>
        </w:rPr>
        <w:t xml:space="preserve"> è stata approvata </w:t>
      </w:r>
      <w:r w:rsidR="00CA4743">
        <w:rPr>
          <w:rFonts w:ascii="Georgia" w:hAnsi="Georgia" w:cs="Arial"/>
        </w:rPr>
        <w:t xml:space="preserve">con il </w:t>
      </w:r>
      <w:hyperlink r:id="rId9" w:tgtFrame="_blank" w:history="1">
        <w:proofErr w:type="spellStart"/>
        <w:r w:rsidR="00CA4743" w:rsidRPr="00CA4743">
          <w:rPr>
            <w:rStyle w:val="Collegamentoipertestuale"/>
            <w:rFonts w:ascii="Georgia" w:hAnsi="Georgia" w:cs="Arial"/>
            <w:bCs/>
            <w:i/>
          </w:rPr>
          <w:t>D</w:t>
        </w:r>
        <w:r w:rsidRPr="00CA4743">
          <w:rPr>
            <w:rStyle w:val="Collegamentoipertestuale"/>
            <w:rFonts w:ascii="Georgia" w:hAnsi="Georgia" w:cs="Arial"/>
            <w:bCs/>
            <w:i/>
          </w:rPr>
          <w:t>écret</w:t>
        </w:r>
        <w:proofErr w:type="spellEnd"/>
        <w:r w:rsidRPr="00CA4743">
          <w:rPr>
            <w:rStyle w:val="Collegamentoipertestuale"/>
            <w:rFonts w:ascii="Georgia" w:hAnsi="Georgia" w:cs="Arial"/>
            <w:bCs/>
            <w:i/>
          </w:rPr>
          <w:t xml:space="preserve"> n</w:t>
        </w:r>
        <w:r w:rsidR="00CA4743" w:rsidRPr="00CA4743">
          <w:rPr>
            <w:rStyle w:val="Collegamentoipertestuale"/>
            <w:rFonts w:ascii="Georgia" w:hAnsi="Georgia" w:cs="Arial"/>
            <w:bCs/>
            <w:i/>
          </w:rPr>
          <w:t xml:space="preserve">. </w:t>
        </w:r>
        <w:r w:rsidRPr="00CA4743">
          <w:rPr>
            <w:rStyle w:val="Collegamentoipertestuale"/>
            <w:rFonts w:ascii="Georgia" w:hAnsi="Georgia" w:cs="Arial"/>
            <w:bCs/>
            <w:i/>
          </w:rPr>
          <w:t xml:space="preserve">2016-1442 </w:t>
        </w:r>
        <w:proofErr w:type="spellStart"/>
        <w:r w:rsidRPr="00CA4743">
          <w:rPr>
            <w:rStyle w:val="Collegamentoipertestuale"/>
            <w:rFonts w:ascii="Georgia" w:hAnsi="Georgia" w:cs="Arial"/>
            <w:bCs/>
            <w:i/>
          </w:rPr>
          <w:t>du</w:t>
        </w:r>
        <w:proofErr w:type="spellEnd"/>
        <w:r w:rsidRPr="00CA4743">
          <w:rPr>
            <w:rStyle w:val="Collegamentoipertestuale"/>
            <w:rFonts w:ascii="Georgia" w:hAnsi="Georgia" w:cs="Arial"/>
            <w:bCs/>
            <w:i/>
          </w:rPr>
          <w:t xml:space="preserve"> 27 </w:t>
        </w:r>
        <w:proofErr w:type="spellStart"/>
        <w:r w:rsidRPr="00CA4743">
          <w:rPr>
            <w:rStyle w:val="Collegamentoipertestuale"/>
            <w:rFonts w:ascii="Georgia" w:hAnsi="Georgia" w:cs="Arial"/>
            <w:bCs/>
            <w:i/>
          </w:rPr>
          <w:t>octobre</w:t>
        </w:r>
        <w:proofErr w:type="spellEnd"/>
        <w:r w:rsidRPr="00CA4743">
          <w:rPr>
            <w:rStyle w:val="Collegamentoipertestuale"/>
            <w:rFonts w:ascii="Georgia" w:hAnsi="Georgia" w:cs="Arial"/>
            <w:bCs/>
            <w:i/>
          </w:rPr>
          <w:t xml:space="preserve"> 2016</w:t>
        </w:r>
      </w:hyperlink>
      <w:r w:rsidRPr="008410DA">
        <w:rPr>
          <w:rStyle w:val="Collegamentoipertestuale"/>
          <w:rFonts w:ascii="Georgia" w:hAnsi="Georgia" w:cs="Arial"/>
          <w:bCs/>
          <w:color w:val="auto"/>
          <w:u w:val="none"/>
        </w:rPr>
        <w:t>.</w:t>
      </w:r>
    </w:p>
    <w:p w:rsidR="00207AEE" w:rsidRPr="008410DA" w:rsidRDefault="00207AEE" w:rsidP="00207AEE">
      <w:pPr>
        <w:widowControl w:val="0"/>
        <w:autoSpaceDE w:val="0"/>
        <w:autoSpaceDN w:val="0"/>
        <w:adjustRightInd w:val="0"/>
        <w:spacing w:after="120"/>
        <w:ind w:firstLine="357"/>
        <w:jc w:val="both"/>
        <w:rPr>
          <w:rFonts w:ascii="Georgia" w:hAnsi="Georgia" w:cs="Arial"/>
        </w:rPr>
      </w:pPr>
      <w:r w:rsidRPr="008410DA">
        <w:rPr>
          <w:rFonts w:ascii="Georgia" w:hAnsi="Georgia" w:cs="Arial"/>
        </w:rPr>
        <w:t>Essa costituisce il cardine della transizione energetica in quanto:</w:t>
      </w:r>
    </w:p>
    <w:p w:rsidR="00207AEE" w:rsidRPr="008410DA" w:rsidRDefault="00CA4743" w:rsidP="00CA4743">
      <w:pPr>
        <w:widowControl w:val="0"/>
        <w:numPr>
          <w:ilvl w:val="0"/>
          <w:numId w:val="15"/>
        </w:numPr>
        <w:autoSpaceDE w:val="0"/>
        <w:autoSpaceDN w:val="0"/>
        <w:adjustRightInd w:val="0"/>
        <w:spacing w:after="60"/>
        <w:jc w:val="both"/>
        <w:rPr>
          <w:rFonts w:ascii="Georgia" w:hAnsi="Georgia" w:cs="Arial"/>
        </w:rPr>
      </w:pPr>
      <w:r>
        <w:rPr>
          <w:rFonts w:ascii="Georgia" w:hAnsi="Georgia" w:cs="Arial"/>
        </w:rPr>
        <w:t>fornisce</w:t>
      </w:r>
      <w:r w:rsidR="00207AEE" w:rsidRPr="008410DA">
        <w:rPr>
          <w:rFonts w:ascii="Georgia" w:hAnsi="Georgia" w:cs="Arial"/>
        </w:rPr>
        <w:t xml:space="preserve"> prospettive alle imprese e permette la creazione di posti di lavoro nell’ambito della “crescita verde”;</w:t>
      </w:r>
    </w:p>
    <w:p w:rsidR="00207AEE" w:rsidRPr="008410DA" w:rsidRDefault="00207AEE" w:rsidP="00CA4743">
      <w:pPr>
        <w:widowControl w:val="0"/>
        <w:numPr>
          <w:ilvl w:val="0"/>
          <w:numId w:val="15"/>
        </w:numPr>
        <w:autoSpaceDE w:val="0"/>
        <w:autoSpaceDN w:val="0"/>
        <w:adjustRightInd w:val="0"/>
        <w:spacing w:after="60"/>
        <w:jc w:val="both"/>
        <w:rPr>
          <w:rFonts w:ascii="Georgia" w:hAnsi="Georgia" w:cs="Arial"/>
        </w:rPr>
      </w:pPr>
      <w:r w:rsidRPr="008410DA">
        <w:rPr>
          <w:rFonts w:ascii="Georgia" w:hAnsi="Georgia" w:cs="Arial"/>
        </w:rPr>
        <w:t>rende irreversibile la transizione energetica e lo sviluppo delle energie rinnovabili;</w:t>
      </w:r>
    </w:p>
    <w:p w:rsidR="00207AEE" w:rsidRPr="008410DA" w:rsidRDefault="00207AEE" w:rsidP="00CA4743">
      <w:pPr>
        <w:widowControl w:val="0"/>
        <w:numPr>
          <w:ilvl w:val="0"/>
          <w:numId w:val="15"/>
        </w:numPr>
        <w:autoSpaceDE w:val="0"/>
        <w:autoSpaceDN w:val="0"/>
        <w:adjustRightInd w:val="0"/>
        <w:spacing w:after="120"/>
        <w:jc w:val="both"/>
        <w:rPr>
          <w:rFonts w:ascii="Georgia" w:hAnsi="Georgia" w:cs="Arial"/>
        </w:rPr>
      </w:pPr>
      <w:r w:rsidRPr="008410DA">
        <w:rPr>
          <w:rFonts w:ascii="Georgia" w:hAnsi="Georgia" w:cs="Arial"/>
        </w:rPr>
        <w:t xml:space="preserve">dà la possibilità alla Francia di essere al primo posto tra i paesi che hanno cominciato ad applicare concretamente l’accordo di Parigi sul clima. </w:t>
      </w:r>
    </w:p>
    <w:p w:rsidR="00207AEE" w:rsidRPr="008410DA" w:rsidRDefault="00207AEE" w:rsidP="00207AEE">
      <w:pPr>
        <w:widowControl w:val="0"/>
        <w:autoSpaceDE w:val="0"/>
        <w:autoSpaceDN w:val="0"/>
        <w:adjustRightInd w:val="0"/>
        <w:spacing w:after="120"/>
        <w:ind w:firstLine="357"/>
        <w:jc w:val="both"/>
        <w:rPr>
          <w:rFonts w:ascii="Georgia" w:hAnsi="Georgia" w:cs="Arial"/>
        </w:rPr>
      </w:pPr>
      <w:r w:rsidRPr="008410DA">
        <w:rPr>
          <w:rFonts w:ascii="Georgia" w:hAnsi="Georgia" w:cs="Arial"/>
        </w:rPr>
        <w:t xml:space="preserve">La legge del 17 agosto 2015 fissa, infatti, come in precedenza accennato, </w:t>
      </w:r>
      <w:r w:rsidR="00CA4743">
        <w:rPr>
          <w:rFonts w:ascii="Georgia" w:hAnsi="Georgia" w:cs="Arial"/>
        </w:rPr>
        <w:t>una serie d</w:t>
      </w:r>
      <w:r w:rsidRPr="008410DA">
        <w:rPr>
          <w:rFonts w:ascii="Georgia" w:hAnsi="Georgia" w:cs="Arial"/>
        </w:rPr>
        <w:t xml:space="preserve">i obiettivi ambiziosi di riduzione delle emissioni di gas a effetto serra, di riduzione del consumo di energia e di sviluppo delle energie rinnovabili. </w:t>
      </w:r>
    </w:p>
    <w:p w:rsidR="00207AEE" w:rsidRPr="008410DA" w:rsidRDefault="00207AEE" w:rsidP="00207AEE">
      <w:pPr>
        <w:widowControl w:val="0"/>
        <w:autoSpaceDE w:val="0"/>
        <w:autoSpaceDN w:val="0"/>
        <w:adjustRightInd w:val="0"/>
        <w:spacing w:after="120"/>
        <w:ind w:firstLine="357"/>
        <w:jc w:val="both"/>
        <w:rPr>
          <w:rFonts w:ascii="Georgia" w:hAnsi="Georgia" w:cs="Arial"/>
        </w:rPr>
      </w:pPr>
      <w:r w:rsidRPr="008410DA">
        <w:rPr>
          <w:rFonts w:ascii="Georgia" w:hAnsi="Georgia" w:cs="Arial"/>
        </w:rPr>
        <w:t xml:space="preserve">Per raggiungere </w:t>
      </w:r>
      <w:r w:rsidR="00CA4743">
        <w:rPr>
          <w:rFonts w:ascii="Georgia" w:hAnsi="Georgia" w:cs="Arial"/>
        </w:rPr>
        <w:t>tal</w:t>
      </w:r>
      <w:r w:rsidRPr="008410DA">
        <w:rPr>
          <w:rFonts w:ascii="Georgia" w:hAnsi="Georgia" w:cs="Arial"/>
        </w:rPr>
        <w:t xml:space="preserve">i obiettivi </w:t>
      </w:r>
      <w:r w:rsidR="00CA4743">
        <w:rPr>
          <w:rFonts w:ascii="Georgia" w:hAnsi="Georgia" w:cs="Arial"/>
        </w:rPr>
        <w:t>si rende</w:t>
      </w:r>
      <w:r w:rsidRPr="008410DA">
        <w:rPr>
          <w:rFonts w:ascii="Georgia" w:hAnsi="Georgia" w:cs="Arial"/>
        </w:rPr>
        <w:t xml:space="preserve"> necessaria una pianificazione molto dettagliata della politica energetica</w:t>
      </w:r>
      <w:r w:rsidR="00677FC8">
        <w:rPr>
          <w:rFonts w:ascii="Georgia" w:hAnsi="Georgia" w:cs="Arial"/>
        </w:rPr>
        <w:t>,</w:t>
      </w:r>
      <w:r w:rsidRPr="008410DA">
        <w:rPr>
          <w:rFonts w:ascii="Georgia" w:hAnsi="Georgia" w:cs="Arial"/>
        </w:rPr>
        <w:t xml:space="preserve"> che definisca priorità chiare per gli anni a venire attraverso un</w:t>
      </w:r>
      <w:r w:rsidR="00CA4743">
        <w:rPr>
          <w:rFonts w:ascii="Georgia" w:hAnsi="Georgia" w:cs="Arial"/>
        </w:rPr>
        <w:t>’</w:t>
      </w:r>
      <w:r w:rsidRPr="008410DA">
        <w:rPr>
          <w:rFonts w:ascii="Georgia" w:hAnsi="Georgia" w:cs="Arial"/>
        </w:rPr>
        <w:t>integrazione dell’insieme delle fonti energetiche e dei soggetti delle politica energetica</w:t>
      </w:r>
      <w:r w:rsidR="00CA4743">
        <w:rPr>
          <w:rFonts w:ascii="Georgia" w:hAnsi="Georgia" w:cs="Arial"/>
        </w:rPr>
        <w:t>,</w:t>
      </w:r>
      <w:r w:rsidRPr="008410DA">
        <w:rPr>
          <w:rFonts w:ascii="Georgia" w:hAnsi="Georgia" w:cs="Arial"/>
        </w:rPr>
        <w:t xml:space="preserve"> e che ponga le basi per un nuovo sistema energetico globale entro il 2030.</w:t>
      </w:r>
    </w:p>
    <w:p w:rsidR="00207AEE" w:rsidRPr="008410DA" w:rsidRDefault="00207AEE" w:rsidP="00207AEE">
      <w:pPr>
        <w:widowControl w:val="0"/>
        <w:autoSpaceDE w:val="0"/>
        <w:autoSpaceDN w:val="0"/>
        <w:adjustRightInd w:val="0"/>
        <w:spacing w:after="120"/>
        <w:ind w:firstLine="357"/>
        <w:jc w:val="both"/>
        <w:rPr>
          <w:rStyle w:val="Collegamentoipertestuale"/>
          <w:rFonts w:ascii="Georgia" w:hAnsi="Georgia" w:cs="Arial"/>
        </w:rPr>
      </w:pPr>
      <w:r w:rsidRPr="008410DA">
        <w:rPr>
          <w:rFonts w:ascii="Georgia" w:hAnsi="Georgia" w:cs="Arial"/>
        </w:rPr>
        <w:t>In sintonia con la strategia nazionale per il carbone adottata a partire da</w:t>
      </w:r>
      <w:r w:rsidR="00677FC8">
        <w:rPr>
          <w:rFonts w:ascii="Georgia" w:hAnsi="Georgia" w:cs="Arial"/>
        </w:rPr>
        <w:t>l</w:t>
      </w:r>
      <w:r w:rsidRPr="008410DA">
        <w:rPr>
          <w:rFonts w:ascii="Georgia" w:hAnsi="Georgia" w:cs="Arial"/>
        </w:rPr>
        <w:t xml:space="preserve"> novembre del 2015, la programmazione pluriennale nel settore energetico indica gli orientamenti e le azioni concrete da attuare entro il 2018 e il 2023 per diminuire </w:t>
      </w:r>
      <w:r w:rsidR="00677FC8">
        <w:rPr>
          <w:rFonts w:ascii="Georgia" w:hAnsi="Georgia" w:cs="Arial"/>
        </w:rPr>
        <w:t xml:space="preserve">progressivamente </w:t>
      </w:r>
      <w:r w:rsidRPr="008410DA">
        <w:rPr>
          <w:rFonts w:ascii="Georgia" w:hAnsi="Georgia" w:cs="Arial"/>
        </w:rPr>
        <w:t>l’uso del carbone e diversificare le fonti di approvvigionamento energetico al fine di favorire la “</w:t>
      </w:r>
      <w:r w:rsidRPr="00677FC8">
        <w:rPr>
          <w:rFonts w:ascii="Georgia" w:hAnsi="Georgia" w:cs="Arial"/>
          <w:b/>
        </w:rPr>
        <w:t>crescita verde</w:t>
      </w:r>
      <w:r w:rsidRPr="008410DA">
        <w:rPr>
          <w:rFonts w:ascii="Georgia" w:hAnsi="Georgia" w:cs="Arial"/>
        </w:rPr>
        <w:t>”.</w:t>
      </w:r>
      <w:r w:rsidRPr="008410DA">
        <w:rPr>
          <w:rStyle w:val="Collegamentoipertestuale"/>
          <w:rFonts w:ascii="Georgia" w:hAnsi="Georgia" w:cs="Arial"/>
        </w:rPr>
        <w:t xml:space="preserve"> </w:t>
      </w:r>
    </w:p>
    <w:p w:rsidR="00207AEE" w:rsidRPr="008410DA" w:rsidRDefault="00207AEE" w:rsidP="00207AEE">
      <w:pPr>
        <w:widowControl w:val="0"/>
        <w:autoSpaceDE w:val="0"/>
        <w:autoSpaceDN w:val="0"/>
        <w:adjustRightInd w:val="0"/>
        <w:spacing w:after="120"/>
        <w:ind w:firstLine="357"/>
        <w:jc w:val="both"/>
        <w:rPr>
          <w:rFonts w:ascii="Georgia" w:hAnsi="Georgia" w:cs="Arial"/>
        </w:rPr>
      </w:pPr>
      <w:r w:rsidRPr="008410DA">
        <w:rPr>
          <w:rFonts w:ascii="Georgia" w:hAnsi="Georgia" w:cs="Arial"/>
        </w:rPr>
        <w:t>Essa prevede in particolare:</w:t>
      </w:r>
    </w:p>
    <w:p w:rsidR="00207AEE" w:rsidRPr="008410DA" w:rsidRDefault="00207AEE" w:rsidP="002D46AC">
      <w:pPr>
        <w:widowControl w:val="0"/>
        <w:numPr>
          <w:ilvl w:val="0"/>
          <w:numId w:val="10"/>
        </w:numPr>
        <w:autoSpaceDE w:val="0"/>
        <w:autoSpaceDN w:val="0"/>
        <w:adjustRightInd w:val="0"/>
        <w:spacing w:after="120"/>
        <w:ind w:left="709" w:hanging="352"/>
        <w:jc w:val="both"/>
        <w:rPr>
          <w:rFonts w:ascii="Georgia" w:hAnsi="Georgia" w:cs="Arial"/>
        </w:rPr>
      </w:pPr>
      <w:r w:rsidRPr="008410DA">
        <w:rPr>
          <w:rFonts w:ascii="Georgia" w:hAnsi="Georgia" w:cs="Arial"/>
        </w:rPr>
        <w:t xml:space="preserve">una </w:t>
      </w:r>
      <w:r w:rsidRPr="00677FC8">
        <w:rPr>
          <w:rFonts w:ascii="Georgia" w:hAnsi="Georgia" w:cs="Arial"/>
          <w:b/>
        </w:rPr>
        <w:t>forte riduzione del consumo d’energia</w:t>
      </w:r>
      <w:r w:rsidR="00250E2D" w:rsidRPr="008410DA">
        <w:rPr>
          <w:rFonts w:ascii="Georgia" w:hAnsi="Georgia" w:cs="Arial"/>
        </w:rPr>
        <w:t xml:space="preserve"> </w:t>
      </w:r>
      <w:r w:rsidRPr="008410DA">
        <w:rPr>
          <w:rFonts w:ascii="Georgia" w:hAnsi="Georgia" w:cs="Arial"/>
        </w:rPr>
        <w:t>(-12% entro il 2023), in particolare di quell</w:t>
      </w:r>
      <w:r w:rsidR="00677FC8">
        <w:rPr>
          <w:rFonts w:ascii="Georgia" w:hAnsi="Georgia" w:cs="Arial"/>
        </w:rPr>
        <w:t>a</w:t>
      </w:r>
      <w:r w:rsidRPr="008410DA">
        <w:rPr>
          <w:rFonts w:ascii="Georgia" w:hAnsi="Georgia" w:cs="Arial"/>
        </w:rPr>
        <w:t xml:space="preserve"> fossile</w:t>
      </w:r>
      <w:r w:rsidR="00250E2D" w:rsidRPr="008410DA">
        <w:rPr>
          <w:rFonts w:ascii="Georgia" w:hAnsi="Georgia" w:cs="Arial"/>
        </w:rPr>
        <w:t xml:space="preserve"> </w:t>
      </w:r>
      <w:r w:rsidRPr="008410DA">
        <w:rPr>
          <w:rFonts w:ascii="Georgia" w:hAnsi="Georgia" w:cs="Arial"/>
        </w:rPr>
        <w:t>(-22% entro il 2023) a beneficio del potere di acquisto delle famiglie, della competitività delle imprese e dell</w:t>
      </w:r>
      <w:r w:rsidR="00677FC8">
        <w:rPr>
          <w:rFonts w:ascii="Georgia" w:hAnsi="Georgia" w:cs="Arial"/>
        </w:rPr>
        <w:t>’</w:t>
      </w:r>
      <w:r w:rsidRPr="008410DA">
        <w:rPr>
          <w:rFonts w:ascii="Georgia" w:hAnsi="Georgia" w:cs="Arial"/>
        </w:rPr>
        <w:t xml:space="preserve">indipendenza energetica della Francia; </w:t>
      </w:r>
    </w:p>
    <w:p w:rsidR="00207AEE" w:rsidRPr="008410DA" w:rsidRDefault="00207AEE" w:rsidP="002D46AC">
      <w:pPr>
        <w:widowControl w:val="0"/>
        <w:numPr>
          <w:ilvl w:val="0"/>
          <w:numId w:val="10"/>
        </w:numPr>
        <w:autoSpaceDE w:val="0"/>
        <w:autoSpaceDN w:val="0"/>
        <w:adjustRightInd w:val="0"/>
        <w:spacing w:after="120"/>
        <w:ind w:left="709" w:hanging="352"/>
        <w:jc w:val="both"/>
        <w:rPr>
          <w:rFonts w:ascii="Georgia" w:hAnsi="Georgia" w:cs="Arial"/>
        </w:rPr>
      </w:pPr>
      <w:r w:rsidRPr="008410DA">
        <w:rPr>
          <w:rFonts w:ascii="Georgia" w:hAnsi="Georgia" w:cs="Arial"/>
        </w:rPr>
        <w:t xml:space="preserve">un </w:t>
      </w:r>
      <w:r w:rsidRPr="00677FC8">
        <w:rPr>
          <w:rFonts w:ascii="Georgia" w:hAnsi="Georgia" w:cs="Arial"/>
          <w:b/>
        </w:rPr>
        <w:t>aumento d</w:t>
      </w:r>
      <w:r w:rsidR="00677FC8" w:rsidRPr="00677FC8">
        <w:rPr>
          <w:rFonts w:ascii="Georgia" w:hAnsi="Georgia" w:cs="Arial"/>
          <w:b/>
        </w:rPr>
        <w:t>i oltre</w:t>
      </w:r>
      <w:r w:rsidRPr="00677FC8">
        <w:rPr>
          <w:rFonts w:ascii="Georgia" w:hAnsi="Georgia" w:cs="Arial"/>
          <w:b/>
        </w:rPr>
        <w:t xml:space="preserve"> </w:t>
      </w:r>
      <w:r w:rsidR="00677FC8" w:rsidRPr="00677FC8">
        <w:rPr>
          <w:rFonts w:ascii="Georgia" w:hAnsi="Georgia" w:cs="Arial"/>
          <w:b/>
        </w:rPr>
        <w:t>i</w:t>
      </w:r>
      <w:r w:rsidRPr="00677FC8">
        <w:rPr>
          <w:rFonts w:ascii="Georgia" w:hAnsi="Georgia" w:cs="Arial"/>
          <w:b/>
        </w:rPr>
        <w:t>l 70% della disponibilità di fonti energetiche rinnovabili elettriche</w:t>
      </w:r>
      <w:r w:rsidRPr="008410DA">
        <w:rPr>
          <w:rFonts w:ascii="Georgia" w:hAnsi="Georgia" w:cs="Arial"/>
        </w:rPr>
        <w:t xml:space="preserve"> e del 50% della produzione del calore rinnovabile; </w:t>
      </w:r>
    </w:p>
    <w:p w:rsidR="00207AEE" w:rsidRPr="008410DA" w:rsidRDefault="00207AEE" w:rsidP="002D46AC">
      <w:pPr>
        <w:widowControl w:val="0"/>
        <w:numPr>
          <w:ilvl w:val="0"/>
          <w:numId w:val="10"/>
        </w:numPr>
        <w:autoSpaceDE w:val="0"/>
        <w:autoSpaceDN w:val="0"/>
        <w:adjustRightInd w:val="0"/>
        <w:spacing w:after="120"/>
        <w:ind w:left="709" w:hanging="352"/>
        <w:jc w:val="both"/>
        <w:rPr>
          <w:rFonts w:ascii="Georgia" w:hAnsi="Georgia" w:cs="Arial"/>
        </w:rPr>
      </w:pPr>
      <w:r w:rsidRPr="008410DA">
        <w:rPr>
          <w:rFonts w:ascii="Georgia" w:hAnsi="Georgia" w:cs="Arial"/>
        </w:rPr>
        <w:t xml:space="preserve">uno </w:t>
      </w:r>
      <w:r w:rsidRPr="008410DA">
        <w:rPr>
          <w:rFonts w:ascii="Georgia" w:hAnsi="Georgia" w:cs="Arial"/>
          <w:b/>
        </w:rPr>
        <w:t>sviluppo della mobilità pubblica</w:t>
      </w:r>
      <w:r w:rsidRPr="008410DA">
        <w:rPr>
          <w:rFonts w:ascii="Georgia" w:hAnsi="Georgia" w:cs="Arial"/>
        </w:rPr>
        <w:t xml:space="preserve"> attraverso mezzi collettivi e condivisi di trasporto ed una riduzione dei carburanti tramite una maggiore diffusione dei motori elettrici</w:t>
      </w:r>
      <w:r w:rsidRPr="008410DA">
        <w:rPr>
          <w:rStyle w:val="Rimandonotaapidipagina"/>
          <w:rFonts w:ascii="Georgia" w:hAnsi="Georgia" w:cs="Arial"/>
        </w:rPr>
        <w:footnoteReference w:id="1"/>
      </w:r>
      <w:r w:rsidRPr="008410DA">
        <w:rPr>
          <w:rFonts w:ascii="Georgia" w:hAnsi="Georgia" w:cs="Arial"/>
        </w:rPr>
        <w:t xml:space="preserve"> e del gas naturale per gli autoveicoli;</w:t>
      </w:r>
    </w:p>
    <w:p w:rsidR="00207AEE" w:rsidRPr="008410DA" w:rsidRDefault="00207AEE" w:rsidP="002D46AC">
      <w:pPr>
        <w:widowControl w:val="0"/>
        <w:numPr>
          <w:ilvl w:val="0"/>
          <w:numId w:val="10"/>
        </w:numPr>
        <w:autoSpaceDE w:val="0"/>
        <w:autoSpaceDN w:val="0"/>
        <w:adjustRightInd w:val="0"/>
        <w:spacing w:after="120"/>
        <w:ind w:left="709" w:hanging="352"/>
        <w:jc w:val="both"/>
        <w:rPr>
          <w:rFonts w:ascii="Georgia" w:hAnsi="Georgia" w:cs="Arial"/>
        </w:rPr>
      </w:pPr>
      <w:r w:rsidRPr="008410DA">
        <w:rPr>
          <w:rFonts w:ascii="Georgia" w:hAnsi="Georgia" w:cs="Arial"/>
        </w:rPr>
        <w:t xml:space="preserve">una </w:t>
      </w:r>
      <w:r w:rsidRPr="00677FC8">
        <w:rPr>
          <w:rFonts w:ascii="Georgia" w:hAnsi="Georgia" w:cs="Arial"/>
          <w:b/>
        </w:rPr>
        <w:t>riduzione della produzione di energia nucleare</w:t>
      </w:r>
      <w:r w:rsidRPr="008410DA">
        <w:rPr>
          <w:rFonts w:ascii="Georgia" w:hAnsi="Georgia" w:cs="Arial"/>
        </w:rPr>
        <w:t xml:space="preserve"> come conseguenza dell</w:t>
      </w:r>
      <w:r w:rsidR="00677FC8">
        <w:rPr>
          <w:rFonts w:ascii="Georgia" w:hAnsi="Georgia" w:cs="Arial"/>
        </w:rPr>
        <w:t>’</w:t>
      </w:r>
      <w:r w:rsidRPr="00677FC8">
        <w:rPr>
          <w:rFonts w:ascii="Georgia" w:hAnsi="Georgia" w:cs="Arial"/>
        </w:rPr>
        <w:t>evoluzione del consumo di energia elettrica</w:t>
      </w:r>
      <w:r w:rsidRPr="008410DA">
        <w:rPr>
          <w:rFonts w:ascii="Georgia" w:hAnsi="Georgia" w:cs="Arial"/>
        </w:rPr>
        <w:t xml:space="preserve"> e dell’incremento dell’uso delle energie rinnovabili;</w:t>
      </w:r>
    </w:p>
    <w:p w:rsidR="00207AEE" w:rsidRPr="008410DA" w:rsidRDefault="00207AEE" w:rsidP="002D46AC">
      <w:pPr>
        <w:widowControl w:val="0"/>
        <w:numPr>
          <w:ilvl w:val="0"/>
          <w:numId w:val="10"/>
        </w:numPr>
        <w:autoSpaceDE w:val="0"/>
        <w:autoSpaceDN w:val="0"/>
        <w:adjustRightInd w:val="0"/>
        <w:spacing w:after="120"/>
        <w:ind w:left="709" w:hanging="352"/>
        <w:jc w:val="both"/>
        <w:rPr>
          <w:rFonts w:ascii="Georgia" w:hAnsi="Georgia" w:cs="Arial"/>
        </w:rPr>
      </w:pPr>
      <w:r w:rsidRPr="008410DA">
        <w:rPr>
          <w:rFonts w:ascii="Georgia" w:hAnsi="Georgia" w:cs="Arial"/>
        </w:rPr>
        <w:t xml:space="preserve">un futuro </w:t>
      </w:r>
      <w:r w:rsidRPr="00677FC8">
        <w:rPr>
          <w:rFonts w:ascii="Georgia" w:hAnsi="Georgia" w:cs="Arial"/>
          <w:b/>
        </w:rPr>
        <w:t>sistema energetico più flessibile e resistente</w:t>
      </w:r>
      <w:r w:rsidRPr="008410DA">
        <w:rPr>
          <w:rFonts w:ascii="Georgia" w:hAnsi="Georgia" w:cs="Arial"/>
        </w:rPr>
        <w:t xml:space="preserve"> alle </w:t>
      </w:r>
      <w:r w:rsidRPr="008410DA">
        <w:rPr>
          <w:rFonts w:ascii="Georgia" w:hAnsi="Georgia" w:cs="Arial"/>
        </w:rPr>
        <w:lastRenderedPageBreak/>
        <w:t>possibili crisi di qual</w:t>
      </w:r>
      <w:r w:rsidR="00677FC8">
        <w:rPr>
          <w:rFonts w:ascii="Georgia" w:hAnsi="Georgia" w:cs="Arial"/>
        </w:rPr>
        <w:t xml:space="preserve">siasi </w:t>
      </w:r>
      <w:r w:rsidRPr="008410DA">
        <w:rPr>
          <w:rFonts w:ascii="Georgia" w:hAnsi="Georgia" w:cs="Arial"/>
        </w:rPr>
        <w:t>natura, grazie all’adozione di linee di condotta che permettano di sviluppare la costituzione di riserve e promuovere l’autoproduzione anche attraverso i generatori di calore.</w:t>
      </w:r>
    </w:p>
    <w:p w:rsidR="00207AEE" w:rsidRPr="008410DA" w:rsidRDefault="00207AEE" w:rsidP="00207AEE">
      <w:pPr>
        <w:widowControl w:val="0"/>
        <w:autoSpaceDE w:val="0"/>
        <w:autoSpaceDN w:val="0"/>
        <w:adjustRightInd w:val="0"/>
        <w:spacing w:after="120"/>
        <w:ind w:firstLine="357"/>
        <w:jc w:val="both"/>
        <w:rPr>
          <w:rFonts w:ascii="Georgia" w:hAnsi="Georgia" w:cs="Arial"/>
        </w:rPr>
      </w:pPr>
      <w:r w:rsidRPr="008410DA">
        <w:rPr>
          <w:rFonts w:ascii="Georgia" w:hAnsi="Georgia" w:cs="Arial"/>
        </w:rPr>
        <w:t>Al fine di tenere conto delle incertezze riguardanti oggigiorno il settore dell’energia</w:t>
      </w:r>
      <w:r w:rsidR="00677FC8">
        <w:rPr>
          <w:rFonts w:ascii="Georgia" w:hAnsi="Georgia" w:cs="Arial"/>
        </w:rPr>
        <w:t>,</w:t>
      </w:r>
      <w:r w:rsidRPr="008410DA">
        <w:rPr>
          <w:rFonts w:ascii="Georgia" w:hAnsi="Georgia" w:cs="Arial"/>
        </w:rPr>
        <w:t xml:space="preserve"> </w:t>
      </w:r>
      <w:r w:rsidR="00677FC8">
        <w:rPr>
          <w:rFonts w:ascii="Georgia" w:hAnsi="Georgia" w:cs="Arial"/>
        </w:rPr>
        <w:t>e tuttavia sempre n</w:t>
      </w:r>
      <w:r w:rsidRPr="008410DA">
        <w:rPr>
          <w:rFonts w:ascii="Georgia" w:hAnsi="Georgia" w:cs="Arial"/>
        </w:rPr>
        <w:t>ell’ottica</w:t>
      </w:r>
      <w:r w:rsidR="00677FC8">
        <w:rPr>
          <w:rFonts w:ascii="Georgia" w:hAnsi="Georgia" w:cs="Arial"/>
        </w:rPr>
        <w:t xml:space="preserve"> </w:t>
      </w:r>
      <w:r w:rsidRPr="008410DA">
        <w:rPr>
          <w:rFonts w:ascii="Georgia" w:hAnsi="Georgia" w:cs="Arial"/>
        </w:rPr>
        <w:t>del raggiungimento degli obiettivi ambiziosi fissati per legge per il 2030, la programmazione sarà rivista nel 2018 e da quel momento in poi ogni 5 anni. Dopo la prima revisione sarà effettuato un monitoraggio puntuale degli obiettivi che la pianificazione si propone di raggiungere.</w:t>
      </w:r>
    </w:p>
    <w:p w:rsidR="00207AEE" w:rsidRPr="008410DA" w:rsidRDefault="00207AEE" w:rsidP="00207AEE">
      <w:pPr>
        <w:widowControl w:val="0"/>
        <w:autoSpaceDE w:val="0"/>
        <w:autoSpaceDN w:val="0"/>
        <w:adjustRightInd w:val="0"/>
        <w:spacing w:after="120"/>
        <w:ind w:firstLine="357"/>
        <w:jc w:val="both"/>
        <w:rPr>
          <w:rStyle w:val="Enfasigrassetto"/>
          <w:rFonts w:ascii="Georgia" w:hAnsi="Georgia"/>
          <w:b w:val="0"/>
        </w:rPr>
      </w:pPr>
      <w:r w:rsidRPr="008410DA">
        <w:rPr>
          <w:rFonts w:ascii="Georgia" w:hAnsi="Georgia" w:cs="Arial"/>
        </w:rPr>
        <w:t>La programmazione pluriennale nel settore energetico è il frutto di una concertazione da parte di tutti i soggetti interessati, a partire dall’adozione della legge. Una prima tappa di tale concertazione ha condotto alla definizione degli obiettivi di sviluppo delle energie rinnovabili</w:t>
      </w:r>
      <w:r w:rsidR="00677FC8">
        <w:rPr>
          <w:rFonts w:ascii="Georgia" w:hAnsi="Georgia" w:cs="Arial"/>
        </w:rPr>
        <w:t>, esposti</w:t>
      </w:r>
      <w:r w:rsidRPr="008410DA">
        <w:rPr>
          <w:rFonts w:ascii="Georgia" w:hAnsi="Georgia" w:cs="Arial"/>
        </w:rPr>
        <w:t xml:space="preserve"> nell’</w:t>
      </w:r>
      <w:proofErr w:type="spellStart"/>
      <w:r w:rsidR="005E2B73" w:rsidRPr="008410DA">
        <w:fldChar w:fldCharType="begin"/>
      </w:r>
      <w:r w:rsidR="005E2B73" w:rsidRPr="008410DA">
        <w:rPr>
          <w:rFonts w:ascii="Georgia" w:hAnsi="Georgia"/>
        </w:rPr>
        <w:instrText xml:space="preserve"> HYPERLINK "https://www.legifrance.gouv.fr/eli/arrete/2016/4/24/DEVR1607461A/jo" </w:instrText>
      </w:r>
      <w:r w:rsidR="005E2B73" w:rsidRPr="008410DA">
        <w:fldChar w:fldCharType="separate"/>
      </w:r>
      <w:r w:rsidRPr="008410DA">
        <w:rPr>
          <w:rStyle w:val="Collegamentoipertestuale"/>
          <w:rFonts w:ascii="Georgia" w:hAnsi="Georgia"/>
          <w:i/>
        </w:rPr>
        <w:t>Arrêté</w:t>
      </w:r>
      <w:proofErr w:type="spellEnd"/>
      <w:r w:rsidRPr="008410DA">
        <w:rPr>
          <w:rStyle w:val="Collegamentoipertestuale"/>
          <w:rFonts w:ascii="Georgia" w:hAnsi="Georgia"/>
          <w:i/>
        </w:rPr>
        <w:t xml:space="preserve"> </w:t>
      </w:r>
      <w:proofErr w:type="spellStart"/>
      <w:r w:rsidRPr="008410DA">
        <w:rPr>
          <w:rStyle w:val="Collegamentoipertestuale"/>
          <w:rFonts w:ascii="Georgia" w:hAnsi="Georgia"/>
          <w:i/>
        </w:rPr>
        <w:t>du</w:t>
      </w:r>
      <w:proofErr w:type="spellEnd"/>
      <w:r w:rsidRPr="008410DA">
        <w:rPr>
          <w:rStyle w:val="Collegamentoipertestuale"/>
          <w:rFonts w:ascii="Georgia" w:hAnsi="Georgia"/>
          <w:i/>
        </w:rPr>
        <w:t xml:space="preserve"> 24 </w:t>
      </w:r>
      <w:proofErr w:type="spellStart"/>
      <w:r w:rsidRPr="008410DA">
        <w:rPr>
          <w:rStyle w:val="Collegamentoipertestuale"/>
          <w:rFonts w:ascii="Georgia" w:hAnsi="Georgia"/>
          <w:i/>
        </w:rPr>
        <w:t>avril</w:t>
      </w:r>
      <w:proofErr w:type="spellEnd"/>
      <w:r w:rsidRPr="008410DA">
        <w:rPr>
          <w:rStyle w:val="Collegamentoipertestuale"/>
          <w:rFonts w:ascii="Georgia" w:hAnsi="Georgia"/>
          <w:i/>
        </w:rPr>
        <w:t xml:space="preserve"> 2016 </w:t>
      </w:r>
      <w:proofErr w:type="spellStart"/>
      <w:r w:rsidRPr="008410DA">
        <w:rPr>
          <w:rStyle w:val="Collegamentoipertestuale"/>
          <w:rFonts w:ascii="Georgia" w:hAnsi="Georgia"/>
          <w:i/>
        </w:rPr>
        <w:t>relatif</w:t>
      </w:r>
      <w:proofErr w:type="spellEnd"/>
      <w:r w:rsidRPr="008410DA">
        <w:rPr>
          <w:rStyle w:val="Collegamentoipertestuale"/>
          <w:rFonts w:ascii="Georgia" w:hAnsi="Georgia"/>
          <w:i/>
        </w:rPr>
        <w:t xml:space="preserve"> </w:t>
      </w:r>
      <w:proofErr w:type="spellStart"/>
      <w:r w:rsidRPr="008410DA">
        <w:rPr>
          <w:rStyle w:val="Collegamentoipertestuale"/>
          <w:rFonts w:ascii="Georgia" w:hAnsi="Georgia"/>
          <w:i/>
        </w:rPr>
        <w:t>aux</w:t>
      </w:r>
      <w:proofErr w:type="spellEnd"/>
      <w:r w:rsidRPr="008410DA">
        <w:rPr>
          <w:rStyle w:val="Collegamentoipertestuale"/>
          <w:rFonts w:ascii="Georgia" w:hAnsi="Georgia"/>
          <w:i/>
        </w:rPr>
        <w:t xml:space="preserve"> </w:t>
      </w:r>
      <w:proofErr w:type="spellStart"/>
      <w:r w:rsidRPr="008410DA">
        <w:rPr>
          <w:rStyle w:val="Collegamentoipertestuale"/>
          <w:rFonts w:ascii="Georgia" w:hAnsi="Georgia"/>
          <w:i/>
        </w:rPr>
        <w:t>objectifs</w:t>
      </w:r>
      <w:proofErr w:type="spellEnd"/>
      <w:r w:rsidRPr="008410DA">
        <w:rPr>
          <w:rStyle w:val="Collegamentoipertestuale"/>
          <w:rFonts w:ascii="Georgia" w:hAnsi="Georgia"/>
          <w:i/>
        </w:rPr>
        <w:t xml:space="preserve"> de </w:t>
      </w:r>
      <w:proofErr w:type="spellStart"/>
      <w:r w:rsidRPr="008410DA">
        <w:rPr>
          <w:rStyle w:val="Collegamentoipertestuale"/>
          <w:rFonts w:ascii="Georgia" w:hAnsi="Georgia"/>
          <w:i/>
        </w:rPr>
        <w:t>développement</w:t>
      </w:r>
      <w:proofErr w:type="spellEnd"/>
      <w:r w:rsidRPr="008410DA">
        <w:rPr>
          <w:rStyle w:val="Collegamentoipertestuale"/>
          <w:rFonts w:ascii="Georgia" w:hAnsi="Georgia"/>
          <w:i/>
        </w:rPr>
        <w:t xml:space="preserve"> </w:t>
      </w:r>
      <w:proofErr w:type="spellStart"/>
      <w:r w:rsidRPr="008410DA">
        <w:rPr>
          <w:rStyle w:val="Collegamentoipertestuale"/>
          <w:rFonts w:ascii="Georgia" w:hAnsi="Georgia"/>
          <w:i/>
        </w:rPr>
        <w:t>des</w:t>
      </w:r>
      <w:proofErr w:type="spellEnd"/>
      <w:r w:rsidRPr="008410DA">
        <w:rPr>
          <w:rStyle w:val="Collegamentoipertestuale"/>
          <w:rFonts w:ascii="Georgia" w:hAnsi="Georgia"/>
          <w:i/>
        </w:rPr>
        <w:t xml:space="preserve"> </w:t>
      </w:r>
      <w:proofErr w:type="spellStart"/>
      <w:r w:rsidRPr="008410DA">
        <w:rPr>
          <w:rStyle w:val="Collegamentoipertestuale"/>
          <w:rFonts w:ascii="Georgia" w:hAnsi="Georgia"/>
          <w:i/>
        </w:rPr>
        <w:t>énergies</w:t>
      </w:r>
      <w:proofErr w:type="spellEnd"/>
      <w:r w:rsidRPr="008410DA">
        <w:rPr>
          <w:rStyle w:val="Collegamentoipertestuale"/>
          <w:rFonts w:ascii="Georgia" w:hAnsi="Georgia"/>
          <w:i/>
        </w:rPr>
        <w:t xml:space="preserve"> </w:t>
      </w:r>
      <w:proofErr w:type="spellStart"/>
      <w:r w:rsidRPr="008410DA">
        <w:rPr>
          <w:rStyle w:val="Collegamentoipertestuale"/>
          <w:rFonts w:ascii="Georgia" w:hAnsi="Georgia"/>
          <w:i/>
        </w:rPr>
        <w:t>renouvelables</w:t>
      </w:r>
      <w:proofErr w:type="spellEnd"/>
      <w:r w:rsidR="005E2B73" w:rsidRPr="008410DA">
        <w:rPr>
          <w:rStyle w:val="Collegamentoipertestuale"/>
          <w:rFonts w:ascii="Georgia" w:hAnsi="Georgia"/>
          <w:i/>
        </w:rPr>
        <w:fldChar w:fldCharType="end"/>
      </w:r>
      <w:r w:rsidRPr="008410DA">
        <w:rPr>
          <w:rStyle w:val="Enfasigrassetto"/>
          <w:rFonts w:ascii="Georgia" w:hAnsi="Georgia"/>
        </w:rPr>
        <w:t>.</w:t>
      </w:r>
    </w:p>
    <w:p w:rsidR="00207AEE" w:rsidRPr="008410DA" w:rsidRDefault="00677FC8" w:rsidP="00207AEE">
      <w:pPr>
        <w:pStyle w:val="NormaleWeb"/>
        <w:spacing w:before="0" w:beforeAutospacing="0" w:after="120" w:afterAutospacing="0"/>
        <w:ind w:firstLine="357"/>
        <w:rPr>
          <w:rFonts w:ascii="Georgia" w:hAnsi="Georgia"/>
          <w:sz w:val="24"/>
          <w:szCs w:val="24"/>
        </w:rPr>
      </w:pPr>
      <w:r>
        <w:rPr>
          <w:rFonts w:ascii="Georgia" w:hAnsi="Georgia"/>
          <w:sz w:val="24"/>
          <w:szCs w:val="24"/>
        </w:rPr>
        <w:t xml:space="preserve">Quest’ultimo </w:t>
      </w:r>
      <w:r w:rsidR="00207AEE" w:rsidRPr="008410DA">
        <w:rPr>
          <w:rFonts w:ascii="Georgia" w:hAnsi="Georgia"/>
          <w:sz w:val="24"/>
          <w:szCs w:val="24"/>
        </w:rPr>
        <w:t xml:space="preserve">provvedimento attualizza la parte </w:t>
      </w:r>
      <w:r>
        <w:rPr>
          <w:rFonts w:ascii="Georgia" w:hAnsi="Georgia"/>
          <w:sz w:val="24"/>
          <w:szCs w:val="24"/>
        </w:rPr>
        <w:t>concernente</w:t>
      </w:r>
      <w:r w:rsidR="00207AEE" w:rsidRPr="008410DA">
        <w:rPr>
          <w:rFonts w:ascii="Georgia" w:hAnsi="Georgia"/>
          <w:sz w:val="24"/>
          <w:szCs w:val="24"/>
        </w:rPr>
        <w:t xml:space="preserve"> le energie rinnovabili da produrre </w:t>
      </w:r>
      <w:r>
        <w:rPr>
          <w:rFonts w:ascii="Georgia" w:hAnsi="Georgia"/>
          <w:sz w:val="24"/>
          <w:szCs w:val="24"/>
        </w:rPr>
        <w:t>contenuta n</w:t>
      </w:r>
      <w:r w:rsidR="00207AEE" w:rsidRPr="008410DA">
        <w:rPr>
          <w:rFonts w:ascii="Georgia" w:hAnsi="Georgia"/>
          <w:sz w:val="24"/>
          <w:szCs w:val="24"/>
        </w:rPr>
        <w:t>egli ultimi programmi di investimento per la produzione di calore e di elettricità entro il 2023.</w:t>
      </w:r>
      <w:r>
        <w:rPr>
          <w:rFonts w:ascii="Georgia" w:hAnsi="Georgia"/>
          <w:sz w:val="24"/>
          <w:szCs w:val="24"/>
        </w:rPr>
        <w:t xml:space="preserve"> </w:t>
      </w:r>
      <w:r w:rsidR="00207AEE" w:rsidRPr="008410DA">
        <w:rPr>
          <w:rFonts w:ascii="Georgia" w:hAnsi="Georgia"/>
          <w:sz w:val="24"/>
          <w:szCs w:val="24"/>
        </w:rPr>
        <w:t>Esso prevede di aumentare di più del 50% la produzione di energia derivante da fonti rinnovabili entro il 2023 in relazione a quanto prodotto nel 2014.</w:t>
      </w:r>
      <w:r>
        <w:rPr>
          <w:rFonts w:ascii="Georgia" w:hAnsi="Georgia"/>
          <w:sz w:val="24"/>
          <w:szCs w:val="24"/>
        </w:rPr>
        <w:t xml:space="preserve"> </w:t>
      </w:r>
      <w:r w:rsidR="00207AEE" w:rsidRPr="008410DA">
        <w:rPr>
          <w:rFonts w:ascii="Georgia" w:hAnsi="Georgia"/>
          <w:sz w:val="24"/>
          <w:szCs w:val="24"/>
        </w:rPr>
        <w:t>In questo quadro la geotermia dovrà essere aumentata di 4 volte entro il 2023 (di 2 volte entro il 2018) e le pompe di calore (aerotermiche e geotermiche) dovranno aumentare di più del 75% la loro produzione nel 2023</w:t>
      </w:r>
      <w:r w:rsidR="000A0A15" w:rsidRPr="008410DA">
        <w:rPr>
          <w:rFonts w:ascii="Georgia" w:hAnsi="Georgia"/>
          <w:sz w:val="24"/>
          <w:szCs w:val="24"/>
        </w:rPr>
        <w:t xml:space="preserve"> </w:t>
      </w:r>
      <w:r w:rsidR="00207AEE" w:rsidRPr="008410DA">
        <w:rPr>
          <w:rFonts w:ascii="Georgia" w:hAnsi="Georgia"/>
          <w:sz w:val="24"/>
          <w:szCs w:val="24"/>
        </w:rPr>
        <w:t>(del 38% entro il 2018). È previsto inoltre che dovrà essere aumentata di 3 volte la quantità di calore e di freddo rinnovabili prodott</w:t>
      </w:r>
      <w:r>
        <w:rPr>
          <w:rFonts w:ascii="Georgia" w:hAnsi="Georgia"/>
          <w:sz w:val="24"/>
          <w:szCs w:val="24"/>
        </w:rPr>
        <w:t>a</w:t>
      </w:r>
      <w:r w:rsidR="00207AEE" w:rsidRPr="008410DA">
        <w:rPr>
          <w:rFonts w:ascii="Georgia" w:hAnsi="Georgia"/>
          <w:sz w:val="24"/>
          <w:szCs w:val="24"/>
        </w:rPr>
        <w:t xml:space="preserve"> e il recupero dell’energia naturale attraverso gli appositi impianti. Infine, la capacità installata di energie rinnovabili elettriche in relazione al 2015 dovrà essere aumentata di più del 50%, portandola tra i 71 e i 78 GW contro i 43 </w:t>
      </w:r>
      <w:r>
        <w:rPr>
          <w:rFonts w:ascii="Georgia" w:hAnsi="Georgia"/>
          <w:sz w:val="24"/>
          <w:szCs w:val="24"/>
        </w:rPr>
        <w:t xml:space="preserve">GW </w:t>
      </w:r>
      <w:r w:rsidR="00207AEE" w:rsidRPr="008410DA">
        <w:rPr>
          <w:rFonts w:ascii="Georgia" w:hAnsi="Georgia"/>
          <w:sz w:val="24"/>
          <w:szCs w:val="24"/>
        </w:rPr>
        <w:t xml:space="preserve">attuali. </w:t>
      </w:r>
    </w:p>
    <w:p w:rsidR="00207AEE" w:rsidRPr="008410DA" w:rsidRDefault="00207AEE" w:rsidP="00207AEE">
      <w:pPr>
        <w:pStyle w:val="NormaleWeb"/>
        <w:spacing w:before="0" w:beforeAutospacing="0" w:after="120" w:afterAutospacing="0"/>
        <w:ind w:firstLine="357"/>
        <w:rPr>
          <w:rStyle w:val="Enfasigrassetto"/>
          <w:rFonts w:ascii="Georgia" w:hAnsi="Georgia"/>
          <w:b w:val="0"/>
          <w:bCs w:val="0"/>
          <w:sz w:val="24"/>
          <w:szCs w:val="24"/>
        </w:rPr>
      </w:pPr>
      <w:r w:rsidRPr="008410DA">
        <w:rPr>
          <w:rFonts w:ascii="Georgia" w:hAnsi="Georgia"/>
          <w:sz w:val="24"/>
          <w:szCs w:val="24"/>
        </w:rPr>
        <w:t>Un primo progetto di programmazione pluriennale era stato sottoposto al Comitato di esperti per la transizione energetica, al Consiglio nazionale per la transizione ecologica</w:t>
      </w:r>
      <w:r w:rsidR="00677FC8">
        <w:rPr>
          <w:rFonts w:ascii="Georgia" w:hAnsi="Georgia"/>
          <w:sz w:val="24"/>
          <w:szCs w:val="24"/>
        </w:rPr>
        <w:t>,</w:t>
      </w:r>
      <w:r w:rsidRPr="008410DA">
        <w:rPr>
          <w:rFonts w:ascii="Georgia" w:hAnsi="Georgia"/>
          <w:sz w:val="24"/>
          <w:szCs w:val="24"/>
        </w:rPr>
        <w:t xml:space="preserve"> al Consiglio superiore per l’energia e all’autorità ambientale. I pareri di tali organismi hanno permesso di pervenire al piano nella sua versione definitiva.</w:t>
      </w:r>
    </w:p>
    <w:p w:rsidR="00207AEE" w:rsidRPr="008410DA" w:rsidRDefault="00207AEE" w:rsidP="00207AEE">
      <w:pPr>
        <w:pStyle w:val="Default"/>
        <w:spacing w:after="120"/>
        <w:ind w:firstLine="357"/>
        <w:jc w:val="both"/>
        <w:rPr>
          <w:rFonts w:ascii="Georgia" w:hAnsi="Georgia"/>
        </w:rPr>
      </w:pPr>
      <w:r w:rsidRPr="008410DA">
        <w:rPr>
          <w:rFonts w:ascii="Georgia" w:eastAsia="Times New Roman" w:hAnsi="Georgia" w:cs="Times New Roman"/>
          <w:lang w:eastAsia="it-IT"/>
        </w:rPr>
        <w:t>Per ulteriori approfondimenti è possibile consultare</w:t>
      </w:r>
      <w:r w:rsidR="008C1638" w:rsidRPr="008410DA">
        <w:rPr>
          <w:rFonts w:ascii="Georgia" w:eastAsia="Times New Roman" w:hAnsi="Georgia" w:cs="Times New Roman"/>
          <w:lang w:eastAsia="it-IT"/>
        </w:rPr>
        <w:t xml:space="preserve"> </w:t>
      </w:r>
      <w:r w:rsidRPr="008410DA">
        <w:rPr>
          <w:rFonts w:ascii="Georgia" w:eastAsia="Times New Roman" w:hAnsi="Georgia" w:cs="Times New Roman"/>
          <w:lang w:eastAsia="it-IT"/>
        </w:rPr>
        <w:t>l</w:t>
      </w:r>
      <w:r w:rsidR="000D5D83" w:rsidRPr="008410DA">
        <w:rPr>
          <w:rFonts w:ascii="Georgia" w:eastAsia="Times New Roman" w:hAnsi="Georgia" w:cs="Times New Roman"/>
          <w:lang w:eastAsia="it-IT"/>
        </w:rPr>
        <w:t>a brochure sulla legge dell’agosto 2015, pubblicata un anno dopo la sua approvazione (</w:t>
      </w:r>
      <w:hyperlink r:id="rId10" w:history="1">
        <w:r w:rsidR="000D5D83" w:rsidRPr="008410DA">
          <w:rPr>
            <w:rStyle w:val="Collegamentoipertestuale"/>
            <w:rFonts w:ascii="Georgia" w:eastAsia="Times New Roman" w:hAnsi="Georgia" w:cs="Times New Roman"/>
            <w:i/>
            <w:lang w:eastAsia="it-IT"/>
          </w:rPr>
          <w:t xml:space="preserve">La </w:t>
        </w:r>
        <w:proofErr w:type="spellStart"/>
        <w:r w:rsidR="000D5D83" w:rsidRPr="008410DA">
          <w:rPr>
            <w:rStyle w:val="Collegamentoipertestuale"/>
            <w:rFonts w:ascii="Georgia" w:eastAsia="Times New Roman" w:hAnsi="Georgia" w:cs="Times New Roman"/>
            <w:i/>
            <w:lang w:eastAsia="it-IT"/>
          </w:rPr>
          <w:t>loi</w:t>
        </w:r>
        <w:proofErr w:type="spellEnd"/>
        <w:r w:rsidR="000D5D83" w:rsidRPr="008410DA">
          <w:rPr>
            <w:rStyle w:val="Collegamentoipertestuale"/>
            <w:rFonts w:ascii="Georgia" w:eastAsia="Times New Roman" w:hAnsi="Georgia" w:cs="Times New Roman"/>
            <w:i/>
            <w:lang w:eastAsia="it-IT"/>
          </w:rPr>
          <w:t xml:space="preserve"> de </w:t>
        </w:r>
        <w:proofErr w:type="spellStart"/>
        <w:r w:rsidR="000D5D83" w:rsidRPr="008410DA">
          <w:rPr>
            <w:rStyle w:val="Collegamentoipertestuale"/>
            <w:rFonts w:ascii="Georgia" w:eastAsia="Times New Roman" w:hAnsi="Georgia" w:cs="Times New Roman"/>
            <w:i/>
            <w:lang w:eastAsia="it-IT"/>
          </w:rPr>
          <w:t>transition</w:t>
        </w:r>
        <w:proofErr w:type="spellEnd"/>
        <w:r w:rsidR="000D5D83" w:rsidRPr="008410DA">
          <w:rPr>
            <w:rStyle w:val="Collegamentoipertestuale"/>
            <w:rFonts w:ascii="Georgia" w:eastAsia="Times New Roman" w:hAnsi="Georgia" w:cs="Times New Roman"/>
            <w:i/>
            <w:lang w:eastAsia="it-IT"/>
          </w:rPr>
          <w:t xml:space="preserve"> </w:t>
        </w:r>
        <w:proofErr w:type="spellStart"/>
        <w:r w:rsidR="000D5D83" w:rsidRPr="008410DA">
          <w:rPr>
            <w:rStyle w:val="Collegamentoipertestuale"/>
            <w:rFonts w:ascii="Georgia" w:eastAsia="Times New Roman" w:hAnsi="Georgia" w:cs="Times New Roman"/>
            <w:i/>
            <w:lang w:eastAsia="it-IT"/>
          </w:rPr>
          <w:t>énergétique</w:t>
        </w:r>
        <w:proofErr w:type="spellEnd"/>
        <w:r w:rsidR="000D5D83" w:rsidRPr="008410DA">
          <w:rPr>
            <w:rStyle w:val="Collegamentoipertestuale"/>
            <w:rFonts w:ascii="Georgia" w:eastAsia="Times New Roman" w:hAnsi="Georgia" w:cs="Times New Roman"/>
            <w:i/>
            <w:lang w:eastAsia="it-IT"/>
          </w:rPr>
          <w:t xml:space="preserve"> pour la </w:t>
        </w:r>
        <w:proofErr w:type="spellStart"/>
        <w:r w:rsidR="000D5D83" w:rsidRPr="008410DA">
          <w:rPr>
            <w:rStyle w:val="Collegamentoipertestuale"/>
            <w:rFonts w:ascii="Georgia" w:eastAsia="Times New Roman" w:hAnsi="Georgia" w:cs="Times New Roman"/>
            <w:i/>
            <w:lang w:eastAsia="it-IT"/>
          </w:rPr>
          <w:t>croissance</w:t>
        </w:r>
        <w:proofErr w:type="spellEnd"/>
        <w:r w:rsidR="000D5D83" w:rsidRPr="008410DA">
          <w:rPr>
            <w:rStyle w:val="Collegamentoipertestuale"/>
            <w:rFonts w:ascii="Georgia" w:eastAsia="Times New Roman" w:hAnsi="Georgia" w:cs="Times New Roman"/>
            <w:i/>
            <w:lang w:eastAsia="it-IT"/>
          </w:rPr>
          <w:t xml:space="preserve"> verte en </w:t>
        </w:r>
        <w:proofErr w:type="spellStart"/>
        <w:r w:rsidR="000D5D83" w:rsidRPr="008410DA">
          <w:rPr>
            <w:rStyle w:val="Collegamentoipertestuale"/>
            <w:rFonts w:ascii="Georgia" w:eastAsia="Times New Roman" w:hAnsi="Georgia" w:cs="Times New Roman"/>
            <w:i/>
            <w:lang w:eastAsia="it-IT"/>
          </w:rPr>
          <w:t>actions</w:t>
        </w:r>
        <w:proofErr w:type="spellEnd"/>
        <w:r w:rsidR="000D5D83" w:rsidRPr="008410DA">
          <w:rPr>
            <w:rStyle w:val="Collegamentoipertestuale"/>
            <w:rFonts w:ascii="Georgia" w:eastAsia="Times New Roman" w:hAnsi="Georgia" w:cs="Times New Roman"/>
            <w:i/>
            <w:lang w:eastAsia="it-IT"/>
          </w:rPr>
          <w:t xml:space="preserve">. </w:t>
        </w:r>
        <w:proofErr w:type="spellStart"/>
        <w:r w:rsidR="000D5D83" w:rsidRPr="008410DA">
          <w:rPr>
            <w:rStyle w:val="Collegamentoipertestuale"/>
            <w:rFonts w:ascii="Georgia" w:eastAsia="Times New Roman" w:hAnsi="Georgia" w:cs="Times New Roman"/>
            <w:i/>
            <w:lang w:eastAsia="it-IT"/>
          </w:rPr>
          <w:t>Territoires</w:t>
        </w:r>
        <w:proofErr w:type="spellEnd"/>
        <w:r w:rsidR="000D5D83" w:rsidRPr="008410DA">
          <w:rPr>
            <w:rStyle w:val="Collegamentoipertestuale"/>
            <w:rFonts w:ascii="Georgia" w:eastAsia="Times New Roman" w:hAnsi="Georgia" w:cs="Times New Roman"/>
            <w:i/>
            <w:lang w:eastAsia="it-IT"/>
          </w:rPr>
          <w:t xml:space="preserve"> – </w:t>
        </w:r>
        <w:proofErr w:type="spellStart"/>
        <w:r w:rsidR="000D5D83" w:rsidRPr="008410DA">
          <w:rPr>
            <w:rStyle w:val="Collegamentoipertestuale"/>
            <w:rFonts w:ascii="Georgia" w:eastAsia="Times New Roman" w:hAnsi="Georgia" w:cs="Times New Roman"/>
            <w:i/>
            <w:lang w:eastAsia="it-IT"/>
          </w:rPr>
          <w:t>Citoyens</w:t>
        </w:r>
        <w:proofErr w:type="spellEnd"/>
        <w:r w:rsidR="000D5D83" w:rsidRPr="008410DA">
          <w:rPr>
            <w:rStyle w:val="Collegamentoipertestuale"/>
            <w:rFonts w:ascii="Georgia" w:eastAsia="Times New Roman" w:hAnsi="Georgia" w:cs="Times New Roman"/>
            <w:i/>
            <w:lang w:eastAsia="it-IT"/>
          </w:rPr>
          <w:t xml:space="preserve"> – </w:t>
        </w:r>
        <w:proofErr w:type="spellStart"/>
        <w:r w:rsidR="000D5D83" w:rsidRPr="008410DA">
          <w:rPr>
            <w:rStyle w:val="Collegamentoipertestuale"/>
            <w:rFonts w:ascii="Georgia" w:eastAsia="Times New Roman" w:hAnsi="Georgia" w:cs="Times New Roman"/>
            <w:i/>
            <w:lang w:eastAsia="it-IT"/>
          </w:rPr>
          <w:t>Entreprises</w:t>
        </w:r>
        <w:proofErr w:type="spellEnd"/>
      </w:hyperlink>
      <w:r w:rsidR="000D5D83" w:rsidRPr="008410DA">
        <w:rPr>
          <w:rFonts w:ascii="Georgia" w:eastAsia="Times New Roman" w:hAnsi="Georgia" w:cs="Times New Roman"/>
          <w:lang w:eastAsia="it-IT"/>
        </w:rPr>
        <w:t>, luglio 2016)</w:t>
      </w:r>
      <w:r w:rsidR="008C1638" w:rsidRPr="008410DA">
        <w:rPr>
          <w:rFonts w:ascii="Georgia" w:eastAsia="Times New Roman" w:hAnsi="Georgia" w:cs="Times New Roman"/>
          <w:lang w:eastAsia="it-IT"/>
        </w:rPr>
        <w:t>,</w:t>
      </w:r>
      <w:r w:rsidR="000D5D83" w:rsidRPr="008410DA">
        <w:rPr>
          <w:rFonts w:ascii="Georgia" w:eastAsia="Times New Roman" w:hAnsi="Georgia" w:cs="Times New Roman"/>
          <w:lang w:eastAsia="it-IT"/>
        </w:rPr>
        <w:t xml:space="preserve"> </w:t>
      </w:r>
      <w:r w:rsidRPr="008410DA">
        <w:rPr>
          <w:rFonts w:ascii="Georgia" w:eastAsia="Times New Roman" w:hAnsi="Georgia" w:cs="Times New Roman"/>
          <w:lang w:eastAsia="it-IT"/>
        </w:rPr>
        <w:t>e</w:t>
      </w:r>
      <w:r w:rsidR="008C1638" w:rsidRPr="008410DA">
        <w:rPr>
          <w:rFonts w:ascii="Georgia" w:eastAsia="Times New Roman" w:hAnsi="Georgia" w:cs="Times New Roman"/>
          <w:lang w:eastAsia="it-IT"/>
        </w:rPr>
        <w:t xml:space="preserve">, in materia di </w:t>
      </w:r>
      <w:r w:rsidR="008C1638" w:rsidRPr="008410DA">
        <w:rPr>
          <w:rFonts w:ascii="Georgia" w:eastAsia="Times New Roman" w:hAnsi="Georgia" w:cs="Times New Roman"/>
          <w:b/>
          <w:lang w:eastAsia="it-IT"/>
        </w:rPr>
        <w:t>efficienza energetica</w:t>
      </w:r>
      <w:r w:rsidR="008C1638" w:rsidRPr="008410DA">
        <w:rPr>
          <w:rFonts w:ascii="Georgia" w:eastAsia="Times New Roman" w:hAnsi="Georgia" w:cs="Times New Roman"/>
          <w:lang w:eastAsia="it-IT"/>
        </w:rPr>
        <w:t xml:space="preserve">, </w:t>
      </w:r>
      <w:r w:rsidRPr="008410DA">
        <w:rPr>
          <w:rFonts w:ascii="Georgia" w:eastAsia="Times New Roman" w:hAnsi="Georgia" w:cs="Times New Roman"/>
          <w:lang w:eastAsia="it-IT"/>
        </w:rPr>
        <w:t xml:space="preserve">il </w:t>
      </w:r>
      <w:hyperlink r:id="rId11" w:history="1">
        <w:r w:rsidRPr="008410DA">
          <w:rPr>
            <w:rStyle w:val="Collegamentoipertestuale"/>
            <w:rFonts w:ascii="Georgia" w:eastAsia="Times New Roman" w:hAnsi="Georgia" w:cs="Times New Roman"/>
            <w:lang w:eastAsia="it-IT"/>
          </w:rPr>
          <w:t>rapporto annuale 201</w:t>
        </w:r>
        <w:r w:rsidR="00AD5B81">
          <w:rPr>
            <w:rStyle w:val="Collegamentoipertestuale"/>
            <w:rFonts w:ascii="Georgia" w:eastAsia="Times New Roman" w:hAnsi="Georgia" w:cs="Times New Roman"/>
            <w:lang w:eastAsia="it-IT"/>
          </w:rPr>
          <w:t>7</w:t>
        </w:r>
      </w:hyperlink>
      <w:r w:rsidR="00AD5B81">
        <w:rPr>
          <w:rFonts w:ascii="Georgia" w:eastAsia="Times New Roman" w:hAnsi="Georgia" w:cs="Times New Roman"/>
          <w:lang w:eastAsia="it-IT"/>
        </w:rPr>
        <w:t>, in applicazione degli artt.</w:t>
      </w:r>
      <w:r w:rsidRPr="008410DA">
        <w:rPr>
          <w:rFonts w:ascii="Georgia" w:eastAsia="Times New Roman" w:hAnsi="Georgia" w:cs="Times New Roman"/>
          <w:lang w:eastAsia="it-IT"/>
        </w:rPr>
        <w:t xml:space="preserve"> 24</w:t>
      </w:r>
      <w:r w:rsidR="00AD5B81">
        <w:rPr>
          <w:rFonts w:ascii="Georgia" w:eastAsia="Times New Roman" w:hAnsi="Georgia" w:cs="Times New Roman"/>
          <w:lang w:eastAsia="it-IT"/>
        </w:rPr>
        <w:t>.1 e 24.2</w:t>
      </w:r>
      <w:r w:rsidRPr="008410DA">
        <w:rPr>
          <w:rFonts w:ascii="Georgia" w:eastAsia="Times New Roman" w:hAnsi="Georgia" w:cs="Times New Roman"/>
          <w:lang w:eastAsia="it-IT"/>
        </w:rPr>
        <w:t xml:space="preserve"> della direttiva </w:t>
      </w:r>
      <w:r w:rsidR="008C1638" w:rsidRPr="008410DA">
        <w:rPr>
          <w:rFonts w:ascii="Georgia" w:eastAsia="Times New Roman" w:hAnsi="Georgia" w:cs="Times New Roman"/>
          <w:lang w:eastAsia="it-IT"/>
        </w:rPr>
        <w:t>2012/27/UE del 25 ottobre 2012.</w:t>
      </w:r>
    </w:p>
    <w:p w:rsidR="001E2E1A" w:rsidRPr="005E2B73" w:rsidRDefault="001E2E1A" w:rsidP="004E3DBD">
      <w:pPr>
        <w:pStyle w:val="NormaleWeb"/>
        <w:spacing w:before="0" w:beforeAutospacing="0" w:after="120" w:afterAutospacing="0"/>
        <w:ind w:firstLine="357"/>
        <w:rPr>
          <w:rFonts w:ascii="Georgia" w:hAnsi="Georgia"/>
          <w:bCs/>
          <w:sz w:val="24"/>
          <w:szCs w:val="24"/>
        </w:rPr>
      </w:pPr>
    </w:p>
    <w:p w:rsidR="00B8171A" w:rsidRPr="005E2B73" w:rsidRDefault="004127E3" w:rsidP="000B210D">
      <w:pPr>
        <w:pStyle w:val="NormaleWeb"/>
        <w:spacing w:before="120" w:beforeAutospacing="0" w:after="240" w:afterAutospacing="0"/>
        <w:rPr>
          <w:rFonts w:ascii="Georgia" w:hAnsi="Georgia"/>
          <w:bCs/>
          <w:sz w:val="24"/>
          <w:szCs w:val="24"/>
        </w:rPr>
      </w:pPr>
      <w:r w:rsidRPr="005E2B73">
        <w:rPr>
          <w:rFonts w:ascii="Georgia" w:hAnsi="Georgia"/>
          <w:b/>
          <w:bCs/>
          <w:sz w:val="28"/>
          <w:szCs w:val="28"/>
        </w:rPr>
        <w:t>Germania</w:t>
      </w:r>
    </w:p>
    <w:p w:rsidR="00ED1F3E" w:rsidRPr="008410DA" w:rsidRDefault="00ED1F3E" w:rsidP="00ED1F3E">
      <w:pPr>
        <w:spacing w:after="120"/>
        <w:ind w:firstLine="357"/>
        <w:jc w:val="both"/>
        <w:rPr>
          <w:rFonts w:ascii="Georgia" w:hAnsi="Georgia"/>
        </w:rPr>
      </w:pPr>
      <w:r w:rsidRPr="008410DA">
        <w:rPr>
          <w:rFonts w:ascii="Georgia" w:hAnsi="Georgia"/>
        </w:rPr>
        <w:t>La trasformazione del sistema energetico tedesco o</w:t>
      </w:r>
      <w:r w:rsidR="0016202E">
        <w:rPr>
          <w:rFonts w:ascii="Georgia" w:hAnsi="Georgia"/>
        </w:rPr>
        <w:t xml:space="preserve"> “</w:t>
      </w:r>
      <w:r w:rsidR="0016202E">
        <w:rPr>
          <w:rFonts w:ascii="Georgia" w:hAnsi="Georgia"/>
          <w:b/>
        </w:rPr>
        <w:t>tr</w:t>
      </w:r>
      <w:r w:rsidRPr="008410DA">
        <w:rPr>
          <w:rFonts w:ascii="Georgia" w:hAnsi="Georgia"/>
          <w:b/>
        </w:rPr>
        <w:t>ans</w:t>
      </w:r>
      <w:r w:rsidR="0016202E">
        <w:rPr>
          <w:rFonts w:ascii="Georgia" w:hAnsi="Georgia"/>
          <w:b/>
        </w:rPr>
        <w:t>i</w:t>
      </w:r>
      <w:r w:rsidRPr="008410DA">
        <w:rPr>
          <w:rFonts w:ascii="Georgia" w:hAnsi="Georgia"/>
          <w:b/>
        </w:rPr>
        <w:t>zione energetica</w:t>
      </w:r>
      <w:r w:rsidR="0016202E">
        <w:rPr>
          <w:rFonts w:ascii="Georgia" w:hAnsi="Georgia"/>
        </w:rPr>
        <w:t>”</w:t>
      </w:r>
      <w:r w:rsidRPr="008410DA">
        <w:rPr>
          <w:rFonts w:ascii="Georgia" w:hAnsi="Georgia"/>
          <w:vertAlign w:val="superscript"/>
        </w:rPr>
        <w:footnoteReference w:id="2"/>
      </w:r>
      <w:r w:rsidRPr="008410DA">
        <w:rPr>
          <w:rFonts w:ascii="Georgia" w:hAnsi="Georgia"/>
        </w:rPr>
        <w:t xml:space="preserve"> (</w:t>
      </w:r>
      <w:proofErr w:type="spellStart"/>
      <w:r w:rsidRPr="008410DA">
        <w:rPr>
          <w:rFonts w:ascii="Georgia" w:hAnsi="Georgia"/>
          <w:i/>
        </w:rPr>
        <w:t>Energiewende</w:t>
      </w:r>
      <w:proofErr w:type="spellEnd"/>
      <w:r w:rsidRPr="008410DA">
        <w:rPr>
          <w:rFonts w:ascii="Georgia" w:hAnsi="Georgia"/>
        </w:rPr>
        <w:t xml:space="preserve">) è stata avviata nel 2000 con la </w:t>
      </w:r>
      <w:r w:rsidRPr="00893566">
        <w:rPr>
          <w:rFonts w:ascii="Georgia" w:hAnsi="Georgia"/>
          <w:b/>
        </w:rPr>
        <w:t>Legge sulle energie rinnovabili</w:t>
      </w:r>
      <w:r w:rsidRPr="008410DA">
        <w:rPr>
          <w:rFonts w:ascii="Georgia" w:hAnsi="Georgia"/>
        </w:rPr>
        <w:t xml:space="preserve"> (</w:t>
      </w:r>
      <w:proofErr w:type="spellStart"/>
      <w:r w:rsidR="0052589B">
        <w:rPr>
          <w:rFonts w:ascii="Georgia" w:hAnsi="Georgia"/>
          <w:i/>
        </w:rPr>
        <w:fldChar w:fldCharType="begin"/>
      </w:r>
      <w:r w:rsidR="0052589B">
        <w:rPr>
          <w:rFonts w:ascii="Georgia" w:hAnsi="Georgia"/>
          <w:i/>
        </w:rPr>
        <w:instrText xml:space="preserve"> HYPERLINK "https://www.buzer.de/gesetz/11230/index.htm" </w:instrText>
      </w:r>
      <w:r w:rsidR="0052589B">
        <w:rPr>
          <w:rFonts w:ascii="Georgia" w:hAnsi="Georgia"/>
          <w:i/>
        </w:rPr>
        <w:fldChar w:fldCharType="separate"/>
      </w:r>
      <w:r w:rsidRPr="0052589B">
        <w:rPr>
          <w:rStyle w:val="Collegamentoipertestuale"/>
          <w:rFonts w:ascii="Georgia" w:hAnsi="Georgia"/>
          <w:i/>
        </w:rPr>
        <w:t>Gesetz</w:t>
      </w:r>
      <w:proofErr w:type="spellEnd"/>
      <w:r w:rsidRPr="0052589B">
        <w:rPr>
          <w:rStyle w:val="Collegamentoipertestuale"/>
          <w:rFonts w:ascii="Georgia" w:hAnsi="Georgia"/>
          <w:i/>
        </w:rPr>
        <w:t xml:space="preserve"> </w:t>
      </w:r>
      <w:proofErr w:type="spellStart"/>
      <w:r w:rsidRPr="0052589B">
        <w:rPr>
          <w:rStyle w:val="Collegamentoipertestuale"/>
          <w:rFonts w:ascii="Georgia" w:hAnsi="Georgia"/>
          <w:i/>
        </w:rPr>
        <w:t>für</w:t>
      </w:r>
      <w:proofErr w:type="spellEnd"/>
      <w:r w:rsidRPr="0052589B">
        <w:rPr>
          <w:rStyle w:val="Collegamentoipertestuale"/>
          <w:rFonts w:ascii="Georgia" w:hAnsi="Georgia"/>
          <w:i/>
        </w:rPr>
        <w:t xml:space="preserve"> </w:t>
      </w:r>
      <w:proofErr w:type="spellStart"/>
      <w:r w:rsidRPr="0052589B">
        <w:rPr>
          <w:rStyle w:val="Collegamentoipertestuale"/>
          <w:rFonts w:ascii="Georgia" w:hAnsi="Georgia"/>
          <w:i/>
        </w:rPr>
        <w:t>den</w:t>
      </w:r>
      <w:proofErr w:type="spellEnd"/>
      <w:r w:rsidRPr="0052589B">
        <w:rPr>
          <w:rStyle w:val="Collegamentoipertestuale"/>
          <w:rFonts w:ascii="Georgia" w:hAnsi="Georgia"/>
          <w:i/>
        </w:rPr>
        <w:t xml:space="preserve"> </w:t>
      </w:r>
      <w:proofErr w:type="spellStart"/>
      <w:r w:rsidRPr="0052589B">
        <w:rPr>
          <w:rStyle w:val="Collegamentoipertestuale"/>
          <w:rFonts w:ascii="Georgia" w:hAnsi="Georgia"/>
          <w:i/>
        </w:rPr>
        <w:t>Vorrang</w:t>
      </w:r>
      <w:proofErr w:type="spellEnd"/>
      <w:r w:rsidRPr="0052589B">
        <w:rPr>
          <w:rStyle w:val="Collegamentoipertestuale"/>
          <w:rFonts w:ascii="Georgia" w:hAnsi="Georgia"/>
          <w:i/>
        </w:rPr>
        <w:t xml:space="preserve"> </w:t>
      </w:r>
      <w:proofErr w:type="spellStart"/>
      <w:r w:rsidRPr="0052589B">
        <w:rPr>
          <w:rStyle w:val="Collegamentoipertestuale"/>
          <w:rFonts w:ascii="Georgia" w:hAnsi="Georgia"/>
          <w:i/>
        </w:rPr>
        <w:t>Erneuerbarer</w:t>
      </w:r>
      <w:proofErr w:type="spellEnd"/>
      <w:r w:rsidRPr="0052589B">
        <w:rPr>
          <w:rStyle w:val="Collegamentoipertestuale"/>
          <w:rFonts w:ascii="Georgia" w:hAnsi="Georgia"/>
          <w:i/>
        </w:rPr>
        <w:t xml:space="preserve"> </w:t>
      </w:r>
      <w:proofErr w:type="spellStart"/>
      <w:r w:rsidRPr="0052589B">
        <w:rPr>
          <w:rStyle w:val="Collegamentoipertestuale"/>
          <w:rFonts w:ascii="Georgia" w:hAnsi="Georgia"/>
          <w:i/>
        </w:rPr>
        <w:t>Energien</w:t>
      </w:r>
      <w:proofErr w:type="spellEnd"/>
      <w:r w:rsidRPr="0052589B">
        <w:rPr>
          <w:rStyle w:val="Collegamentoipertestuale"/>
          <w:rFonts w:ascii="Georgia" w:hAnsi="Georgia"/>
          <w:i/>
        </w:rPr>
        <w:t xml:space="preserve"> </w:t>
      </w:r>
      <w:r w:rsidRPr="0052589B">
        <w:rPr>
          <w:rStyle w:val="Collegamentoipertestuale"/>
          <w:rFonts w:ascii="Georgia" w:hAnsi="Georgia"/>
          <w:i/>
        </w:rPr>
        <w:lastRenderedPageBreak/>
        <w:t>(</w:t>
      </w:r>
      <w:proofErr w:type="spellStart"/>
      <w:r w:rsidRPr="0052589B">
        <w:rPr>
          <w:rStyle w:val="Collegamentoipertestuale"/>
          <w:rFonts w:ascii="Georgia" w:hAnsi="Georgia"/>
          <w:i/>
        </w:rPr>
        <w:t>Erneuerbare-Energien-Gesetz</w:t>
      </w:r>
      <w:proofErr w:type="spellEnd"/>
      <w:r w:rsidR="0052589B">
        <w:rPr>
          <w:rFonts w:ascii="Georgia" w:hAnsi="Georgia"/>
          <w:i/>
        </w:rPr>
        <w:fldChar w:fldCharType="end"/>
      </w:r>
      <w:r w:rsidRPr="008410DA">
        <w:rPr>
          <w:rFonts w:ascii="Georgia" w:hAnsi="Georgia"/>
          <w:i/>
        </w:rPr>
        <w:t xml:space="preserve"> – EEG)</w:t>
      </w:r>
      <w:r w:rsidRPr="008410DA">
        <w:rPr>
          <w:rFonts w:ascii="Georgia" w:hAnsi="Georgia"/>
        </w:rPr>
        <w:t xml:space="preserve"> del 29 marzo 2000, più volte modificata ed ampliata (EEG 2004, EEG 2009, EEG 2012, EEG 2014, EEG 2016)</w:t>
      </w:r>
      <w:r w:rsidR="00453FAD" w:rsidRPr="008410DA">
        <w:rPr>
          <w:rFonts w:ascii="Georgia" w:hAnsi="Georgia"/>
          <w:vertAlign w:val="superscript"/>
        </w:rPr>
        <w:footnoteReference w:id="3"/>
      </w:r>
      <w:r w:rsidRPr="008410DA">
        <w:rPr>
          <w:rFonts w:ascii="Georgia" w:hAnsi="Georgia"/>
        </w:rPr>
        <w:t>.</w:t>
      </w:r>
      <w:r w:rsidR="00453FAD">
        <w:rPr>
          <w:rFonts w:ascii="Georgia" w:hAnsi="Georgia"/>
        </w:rPr>
        <w:t xml:space="preserve"> </w:t>
      </w:r>
      <w:r w:rsidRPr="008410DA">
        <w:rPr>
          <w:rFonts w:ascii="Georgia" w:hAnsi="Georgia"/>
        </w:rPr>
        <w:t>Grazie a questa legge e alle sue successive modifiche, il Governo tedesco si è posto diversi obiettivi di breve e medio-lungo termine tesi al raggiungimento di un insieme di ambiziosi traguardi entro il 2050. I quattro obiettivi principali sono:</w:t>
      </w:r>
    </w:p>
    <w:p w:rsidR="00ED1F3E" w:rsidRPr="002D46AC" w:rsidRDefault="00ED1F3E" w:rsidP="002D46AC">
      <w:pPr>
        <w:pStyle w:val="Paragrafoelenco"/>
        <w:numPr>
          <w:ilvl w:val="0"/>
          <w:numId w:val="22"/>
        </w:numPr>
        <w:spacing w:after="60"/>
        <w:ind w:left="850" w:hanging="425"/>
        <w:contextualSpacing w:val="0"/>
        <w:jc w:val="both"/>
        <w:rPr>
          <w:rFonts w:ascii="Georgia" w:hAnsi="Georgia"/>
        </w:rPr>
      </w:pPr>
      <w:r w:rsidRPr="002D46AC">
        <w:rPr>
          <w:rFonts w:ascii="Georgia" w:hAnsi="Georgia"/>
        </w:rPr>
        <w:t>riduzione del 20% dei consumi di energia primaria rispetto ai livelli del 2008;</w:t>
      </w:r>
    </w:p>
    <w:p w:rsidR="00ED1F3E" w:rsidRPr="002D46AC" w:rsidRDefault="00ED1F3E" w:rsidP="002D46AC">
      <w:pPr>
        <w:pStyle w:val="Paragrafoelenco"/>
        <w:numPr>
          <w:ilvl w:val="0"/>
          <w:numId w:val="22"/>
        </w:numPr>
        <w:spacing w:after="60"/>
        <w:ind w:left="850" w:hanging="425"/>
        <w:contextualSpacing w:val="0"/>
        <w:jc w:val="both"/>
        <w:rPr>
          <w:rFonts w:ascii="Georgia" w:hAnsi="Georgia"/>
        </w:rPr>
      </w:pPr>
      <w:r w:rsidRPr="002D46AC">
        <w:rPr>
          <w:rFonts w:ascii="Georgia" w:hAnsi="Georgia"/>
        </w:rPr>
        <w:t>riduzione del 40% delle emissioni di gas a effetto serra (GHG) rispetto ai livelli del 1990;</w:t>
      </w:r>
    </w:p>
    <w:p w:rsidR="00ED1F3E" w:rsidRPr="002D46AC" w:rsidRDefault="00ED1F3E" w:rsidP="002D46AC">
      <w:pPr>
        <w:pStyle w:val="Paragrafoelenco"/>
        <w:numPr>
          <w:ilvl w:val="0"/>
          <w:numId w:val="22"/>
        </w:numPr>
        <w:spacing w:after="60"/>
        <w:ind w:left="850" w:hanging="425"/>
        <w:contextualSpacing w:val="0"/>
        <w:jc w:val="both"/>
        <w:rPr>
          <w:rFonts w:ascii="Georgia" w:hAnsi="Georgia"/>
        </w:rPr>
      </w:pPr>
      <w:r w:rsidRPr="002D46AC">
        <w:rPr>
          <w:rFonts w:ascii="Georgia" w:hAnsi="Georgia"/>
        </w:rPr>
        <w:t xml:space="preserve">quota del 18% delle rinnovabili sui consumi finali lordi di energia; </w:t>
      </w:r>
    </w:p>
    <w:p w:rsidR="00ED1F3E" w:rsidRPr="002D46AC" w:rsidRDefault="00ED1F3E" w:rsidP="00B438D2">
      <w:pPr>
        <w:pStyle w:val="Paragrafoelenco"/>
        <w:numPr>
          <w:ilvl w:val="0"/>
          <w:numId w:val="22"/>
        </w:numPr>
        <w:spacing w:after="120"/>
        <w:ind w:left="850" w:hanging="425"/>
        <w:contextualSpacing w:val="0"/>
        <w:jc w:val="both"/>
        <w:rPr>
          <w:rFonts w:ascii="Georgia" w:hAnsi="Georgia"/>
        </w:rPr>
      </w:pPr>
      <w:r w:rsidRPr="002D46AC">
        <w:rPr>
          <w:rFonts w:ascii="Georgia" w:hAnsi="Georgia"/>
        </w:rPr>
        <w:t xml:space="preserve">quota del 35% delle rinnovabili sui consumi finali lordi di elettricità. </w:t>
      </w:r>
    </w:p>
    <w:p w:rsidR="00ED1F3E" w:rsidRPr="008D7AD9" w:rsidRDefault="00ED1F3E" w:rsidP="00ED1F3E">
      <w:pPr>
        <w:spacing w:after="120"/>
        <w:ind w:firstLine="357"/>
        <w:jc w:val="both"/>
        <w:rPr>
          <w:rFonts w:ascii="Georgia" w:hAnsi="Georgia" w:cs="Arial"/>
          <w:b/>
          <w:bCs/>
        </w:rPr>
      </w:pPr>
      <w:r w:rsidRPr="008410DA">
        <w:rPr>
          <w:rFonts w:ascii="Georgia" w:hAnsi="Georgia"/>
        </w:rPr>
        <w:t xml:space="preserve">Dopo </w:t>
      </w:r>
      <w:r w:rsidR="002D46AC">
        <w:rPr>
          <w:rFonts w:ascii="Georgia" w:hAnsi="Georgia"/>
        </w:rPr>
        <w:t xml:space="preserve">l’incidente </w:t>
      </w:r>
      <w:r w:rsidRPr="008410DA">
        <w:rPr>
          <w:rFonts w:ascii="Georgia" w:hAnsi="Georgia"/>
        </w:rPr>
        <w:t>di Fukushima furono attuate le condizioni generali per la cessazione dell’uso di energia nucleare per la produzione di energia elettrica in Germania ("</w:t>
      </w:r>
      <w:proofErr w:type="spellStart"/>
      <w:r w:rsidRPr="008410DA">
        <w:rPr>
          <w:rFonts w:ascii="Georgia" w:hAnsi="Georgia"/>
          <w:i/>
        </w:rPr>
        <w:t>Atomausstieg</w:t>
      </w:r>
      <w:proofErr w:type="spellEnd"/>
      <w:r w:rsidRPr="008410DA">
        <w:rPr>
          <w:rFonts w:ascii="Georgia" w:hAnsi="Georgia"/>
        </w:rPr>
        <w:t xml:space="preserve">") </w:t>
      </w:r>
      <w:r w:rsidR="000A0A15" w:rsidRPr="008410DA">
        <w:rPr>
          <w:rFonts w:ascii="Georgia" w:hAnsi="Georgia"/>
        </w:rPr>
        <w:t>att</w:t>
      </w:r>
      <w:r w:rsidRPr="008410DA">
        <w:rPr>
          <w:rFonts w:ascii="Georgia" w:hAnsi="Georgia"/>
        </w:rPr>
        <w:t>r</w:t>
      </w:r>
      <w:r w:rsidR="000A0A15" w:rsidRPr="008410DA">
        <w:rPr>
          <w:rFonts w:ascii="Georgia" w:hAnsi="Georgia"/>
        </w:rPr>
        <w:t>a</w:t>
      </w:r>
      <w:r w:rsidRPr="008410DA">
        <w:rPr>
          <w:rFonts w:ascii="Georgia" w:hAnsi="Georgia"/>
        </w:rPr>
        <w:t xml:space="preserve">verso la </w:t>
      </w:r>
      <w:r w:rsidRPr="008410DA">
        <w:rPr>
          <w:rFonts w:ascii="Georgia" w:hAnsi="Georgia"/>
          <w:b/>
        </w:rPr>
        <w:t xml:space="preserve">Tredicesima legge di modifica della Legge </w:t>
      </w:r>
      <w:r w:rsidR="002D46AC">
        <w:rPr>
          <w:rFonts w:ascii="Georgia" w:hAnsi="Georgia"/>
          <w:b/>
        </w:rPr>
        <w:t>sull’</w:t>
      </w:r>
      <w:r w:rsidRPr="008410DA">
        <w:rPr>
          <w:rFonts w:ascii="Georgia" w:hAnsi="Georgia"/>
          <w:b/>
        </w:rPr>
        <w:t>energia nucleare</w:t>
      </w:r>
      <w:r w:rsidRPr="008410DA">
        <w:rPr>
          <w:rFonts w:ascii="Georgia" w:hAnsi="Georgia" w:cs="Arial"/>
        </w:rPr>
        <w:t xml:space="preserve"> </w:t>
      </w:r>
      <w:hyperlink r:id="rId12" w:history="1">
        <w:r w:rsidRPr="008D7AD9">
          <w:rPr>
            <w:rStyle w:val="Collegamentoipertestuale"/>
            <w:rFonts w:ascii="Georgia" w:hAnsi="Georgia" w:cs="Arial"/>
            <w:i/>
          </w:rPr>
          <w:t>(</w:t>
        </w:r>
        <w:proofErr w:type="spellStart"/>
        <w:r w:rsidR="008D7AD9" w:rsidRPr="008D7AD9">
          <w:rPr>
            <w:rStyle w:val="Collegamentoipertestuale"/>
            <w:rFonts w:ascii="Georgia" w:hAnsi="Georgia" w:cs="Arial"/>
            <w:bCs/>
            <w:i/>
          </w:rPr>
          <w:t>Dreizehntes</w:t>
        </w:r>
        <w:proofErr w:type="spellEnd"/>
        <w:r w:rsidR="008D7AD9" w:rsidRPr="008D7AD9">
          <w:rPr>
            <w:rStyle w:val="Collegamentoipertestuale"/>
            <w:rFonts w:ascii="Georgia" w:hAnsi="Georgia" w:cs="Arial"/>
            <w:bCs/>
            <w:i/>
          </w:rPr>
          <w:t xml:space="preserve"> </w:t>
        </w:r>
        <w:proofErr w:type="spellStart"/>
        <w:r w:rsidR="008D7AD9" w:rsidRPr="008D7AD9">
          <w:rPr>
            <w:rStyle w:val="Collegamentoipertestuale"/>
            <w:rFonts w:ascii="Georgia" w:hAnsi="Georgia" w:cs="Arial"/>
            <w:bCs/>
            <w:i/>
          </w:rPr>
          <w:t>Gesetz</w:t>
        </w:r>
        <w:proofErr w:type="spellEnd"/>
        <w:r w:rsidR="008D7AD9" w:rsidRPr="008D7AD9">
          <w:rPr>
            <w:rStyle w:val="Collegamentoipertestuale"/>
            <w:rFonts w:ascii="Georgia" w:hAnsi="Georgia" w:cs="Arial"/>
            <w:bCs/>
            <w:i/>
          </w:rPr>
          <w:t xml:space="preserve"> </w:t>
        </w:r>
        <w:proofErr w:type="spellStart"/>
        <w:r w:rsidR="008D7AD9" w:rsidRPr="008D7AD9">
          <w:rPr>
            <w:rStyle w:val="Collegamentoipertestuale"/>
            <w:rFonts w:ascii="Georgia" w:hAnsi="Georgia" w:cs="Arial"/>
            <w:bCs/>
            <w:i/>
          </w:rPr>
          <w:t>zur</w:t>
        </w:r>
        <w:proofErr w:type="spellEnd"/>
        <w:r w:rsidR="008D7AD9" w:rsidRPr="008D7AD9">
          <w:rPr>
            <w:rStyle w:val="Collegamentoipertestuale"/>
            <w:rFonts w:ascii="Georgia" w:hAnsi="Georgia" w:cs="Arial"/>
            <w:bCs/>
            <w:i/>
          </w:rPr>
          <w:t xml:space="preserve"> </w:t>
        </w:r>
        <w:proofErr w:type="spellStart"/>
        <w:r w:rsidR="008D7AD9" w:rsidRPr="008D7AD9">
          <w:rPr>
            <w:rStyle w:val="Collegamentoipertestuale"/>
            <w:rFonts w:ascii="Georgia" w:hAnsi="Georgia" w:cs="Arial"/>
            <w:bCs/>
            <w:i/>
          </w:rPr>
          <w:t>Änderung</w:t>
        </w:r>
        <w:proofErr w:type="spellEnd"/>
        <w:r w:rsidR="008D7AD9" w:rsidRPr="008D7AD9">
          <w:rPr>
            <w:rStyle w:val="Collegamentoipertestuale"/>
            <w:rFonts w:ascii="Georgia" w:hAnsi="Georgia" w:cs="Arial"/>
            <w:bCs/>
            <w:i/>
          </w:rPr>
          <w:t xml:space="preserve"> </w:t>
        </w:r>
        <w:proofErr w:type="spellStart"/>
        <w:r w:rsidR="008D7AD9" w:rsidRPr="008D7AD9">
          <w:rPr>
            <w:rStyle w:val="Collegamentoipertestuale"/>
            <w:rFonts w:ascii="Georgia" w:hAnsi="Georgia" w:cs="Arial"/>
            <w:bCs/>
            <w:i/>
          </w:rPr>
          <w:t>des</w:t>
        </w:r>
        <w:proofErr w:type="spellEnd"/>
        <w:r w:rsidR="008D7AD9" w:rsidRPr="008D7AD9">
          <w:rPr>
            <w:rStyle w:val="Collegamentoipertestuale"/>
            <w:rFonts w:ascii="Georgia" w:hAnsi="Georgia" w:cs="Arial"/>
            <w:bCs/>
            <w:i/>
          </w:rPr>
          <w:t xml:space="preserve"> </w:t>
        </w:r>
        <w:proofErr w:type="spellStart"/>
        <w:r w:rsidR="008D7AD9" w:rsidRPr="008D7AD9">
          <w:rPr>
            <w:rStyle w:val="Collegamentoipertestuale"/>
            <w:rFonts w:ascii="Georgia" w:hAnsi="Georgia" w:cs="Arial"/>
            <w:bCs/>
            <w:i/>
          </w:rPr>
          <w:t>Atomgesetzes</w:t>
        </w:r>
        <w:proofErr w:type="spellEnd"/>
        <w:r w:rsidR="008D7AD9" w:rsidRPr="008D7AD9">
          <w:rPr>
            <w:rStyle w:val="Collegamentoipertestuale"/>
            <w:rFonts w:ascii="Georgia" w:hAnsi="Georgia" w:cs="Arial"/>
            <w:bCs/>
          </w:rPr>
          <w:t>)</w:t>
        </w:r>
      </w:hyperlink>
      <w:r w:rsidR="002D46AC">
        <w:rPr>
          <w:rFonts w:ascii="Georgia" w:hAnsi="Georgia"/>
        </w:rPr>
        <w:t>,</w:t>
      </w:r>
      <w:r w:rsidRPr="008410DA">
        <w:rPr>
          <w:rFonts w:ascii="Georgia" w:hAnsi="Georgia"/>
        </w:rPr>
        <w:t xml:space="preserve"> del 31 luglio 2011</w:t>
      </w:r>
      <w:r w:rsidR="002D46AC">
        <w:rPr>
          <w:rFonts w:ascii="Georgia" w:hAnsi="Georgia"/>
        </w:rPr>
        <w:t>,</w:t>
      </w:r>
      <w:r w:rsidRPr="008410DA">
        <w:rPr>
          <w:rFonts w:ascii="Georgia" w:hAnsi="Georgia"/>
        </w:rPr>
        <w:t xml:space="preserve"> ent</w:t>
      </w:r>
      <w:r w:rsidR="000A0A15" w:rsidRPr="008410DA">
        <w:rPr>
          <w:rFonts w:ascii="Georgia" w:hAnsi="Georgia"/>
        </w:rPr>
        <w:t>ra</w:t>
      </w:r>
      <w:r w:rsidRPr="008410DA">
        <w:rPr>
          <w:rFonts w:ascii="Georgia" w:hAnsi="Georgia"/>
        </w:rPr>
        <w:t xml:space="preserve">ta </w:t>
      </w:r>
      <w:r w:rsidR="002D46AC">
        <w:rPr>
          <w:rFonts w:ascii="Georgia" w:hAnsi="Georgia"/>
        </w:rPr>
        <w:t xml:space="preserve">in </w:t>
      </w:r>
      <w:r w:rsidRPr="008410DA">
        <w:rPr>
          <w:rFonts w:ascii="Georgia" w:hAnsi="Georgia"/>
        </w:rPr>
        <w:t>vigore nel</w:t>
      </w:r>
      <w:r w:rsidR="002D46AC">
        <w:rPr>
          <w:rFonts w:ascii="Georgia" w:hAnsi="Georgia"/>
        </w:rPr>
        <w:t xml:space="preserve"> successivo mese di </w:t>
      </w:r>
      <w:r w:rsidRPr="008410DA">
        <w:rPr>
          <w:rFonts w:ascii="Georgia" w:hAnsi="Georgia"/>
        </w:rPr>
        <w:t>agosto. Il Governo federale tedesco decise dunque l'uscita dal nucleare e la progressiva sostituzione dell'energia prodotta da combustibili fossili con quella “pulita” derivata da fonti rinnovabili (solare, vento, geotermico, biodiesel) entro il 2020.</w:t>
      </w:r>
      <w:r w:rsidR="000A0A15" w:rsidRPr="008410DA">
        <w:rPr>
          <w:rFonts w:ascii="Georgia" w:hAnsi="Georgia"/>
        </w:rPr>
        <w:t xml:space="preserve"> </w:t>
      </w:r>
      <w:r w:rsidRPr="008410DA">
        <w:rPr>
          <w:rFonts w:ascii="Georgia" w:hAnsi="Georgia"/>
        </w:rPr>
        <w:t xml:space="preserve">Con l’entrata in vigore </w:t>
      </w:r>
      <w:r w:rsidR="000A0A15" w:rsidRPr="008410DA">
        <w:rPr>
          <w:rFonts w:ascii="Georgia" w:hAnsi="Georgia"/>
        </w:rPr>
        <w:t>della legge otto centrali nucle</w:t>
      </w:r>
      <w:r w:rsidRPr="008410DA">
        <w:rPr>
          <w:rFonts w:ascii="Georgia" w:hAnsi="Georgia"/>
        </w:rPr>
        <w:t xml:space="preserve">ari hanno perso </w:t>
      </w:r>
      <w:r w:rsidR="002D46AC">
        <w:rPr>
          <w:rFonts w:ascii="Georgia" w:hAnsi="Georgia"/>
        </w:rPr>
        <w:t>l’</w:t>
      </w:r>
      <w:r w:rsidRPr="008410DA">
        <w:rPr>
          <w:rFonts w:ascii="Georgia" w:hAnsi="Georgia"/>
        </w:rPr>
        <w:t>autorizzazione all’ese</w:t>
      </w:r>
      <w:r w:rsidR="000A0A15" w:rsidRPr="008410DA">
        <w:rPr>
          <w:rFonts w:ascii="Georgia" w:hAnsi="Georgia"/>
        </w:rPr>
        <w:t>r</w:t>
      </w:r>
      <w:r w:rsidRPr="008410DA">
        <w:rPr>
          <w:rFonts w:ascii="Georgia" w:hAnsi="Georgia"/>
        </w:rPr>
        <w:t>cizio dell’attività</w:t>
      </w:r>
      <w:r w:rsidR="002D46AC">
        <w:rPr>
          <w:rFonts w:ascii="Georgia" w:hAnsi="Georgia"/>
        </w:rPr>
        <w:t>:</w:t>
      </w:r>
      <w:r w:rsidRPr="008410DA">
        <w:rPr>
          <w:rFonts w:ascii="Georgia" w:hAnsi="Georgia"/>
        </w:rPr>
        <w:t xml:space="preserve"> </w:t>
      </w:r>
      <w:r w:rsidR="002D46AC">
        <w:rPr>
          <w:rFonts w:ascii="Georgia" w:hAnsi="Georgia"/>
        </w:rPr>
        <w:t>p</w:t>
      </w:r>
      <w:r w:rsidRPr="008410DA">
        <w:rPr>
          <w:rFonts w:ascii="Georgia" w:hAnsi="Georgia"/>
        </w:rPr>
        <w:t>er i tre impian</w:t>
      </w:r>
      <w:r w:rsidR="000A0A15" w:rsidRPr="008410DA">
        <w:rPr>
          <w:rFonts w:ascii="Georgia" w:hAnsi="Georgia"/>
        </w:rPr>
        <w:t>ti più</w:t>
      </w:r>
      <w:r w:rsidRPr="008410DA">
        <w:rPr>
          <w:rFonts w:ascii="Georgia" w:hAnsi="Georgia"/>
        </w:rPr>
        <w:t xml:space="preserve"> recenti,</w:t>
      </w:r>
      <w:r w:rsidR="000A0A15" w:rsidRPr="008410DA">
        <w:rPr>
          <w:rFonts w:ascii="Georgia" w:hAnsi="Georgia"/>
        </w:rPr>
        <w:t xml:space="preserve"> </w:t>
      </w:r>
      <w:r w:rsidR="002D46AC">
        <w:rPr>
          <w:rFonts w:ascii="Georgia" w:hAnsi="Georgia"/>
        </w:rPr>
        <w:t>il termine massimo di cessazione è fissato al</w:t>
      </w:r>
      <w:r w:rsidRPr="008410DA">
        <w:rPr>
          <w:rFonts w:ascii="Georgia" w:hAnsi="Georgia"/>
        </w:rPr>
        <w:t xml:space="preserve"> 2022, mentre per </w:t>
      </w:r>
      <w:r w:rsidR="002D46AC">
        <w:rPr>
          <w:rFonts w:ascii="Georgia" w:hAnsi="Georgia"/>
        </w:rPr>
        <w:t>gl</w:t>
      </w:r>
      <w:r w:rsidRPr="008410DA">
        <w:rPr>
          <w:rFonts w:ascii="Georgia" w:hAnsi="Georgia"/>
        </w:rPr>
        <w:t xml:space="preserve">i </w:t>
      </w:r>
      <w:r w:rsidR="002D46AC">
        <w:rPr>
          <w:rFonts w:ascii="Georgia" w:hAnsi="Georgia"/>
        </w:rPr>
        <w:t>altri</w:t>
      </w:r>
      <w:r w:rsidRPr="008410DA">
        <w:rPr>
          <w:rFonts w:ascii="Georgia" w:hAnsi="Georgia"/>
        </w:rPr>
        <w:t xml:space="preserve"> impianti esistenti, </w:t>
      </w:r>
      <w:r w:rsidR="00453FAD">
        <w:rPr>
          <w:rFonts w:ascii="Georgia" w:hAnsi="Georgia"/>
        </w:rPr>
        <w:t xml:space="preserve">le </w:t>
      </w:r>
      <w:proofErr w:type="spellStart"/>
      <w:r w:rsidR="00453FAD">
        <w:rPr>
          <w:rFonts w:ascii="Georgia" w:hAnsi="Georgia"/>
        </w:rPr>
        <w:t>arelative</w:t>
      </w:r>
      <w:proofErr w:type="spellEnd"/>
      <w:r w:rsidR="00453FAD">
        <w:rPr>
          <w:rFonts w:ascii="Georgia" w:hAnsi="Georgia"/>
        </w:rPr>
        <w:t xml:space="preserve"> autorizzazioni scadono,</w:t>
      </w:r>
      <w:r w:rsidR="002D46AC">
        <w:rPr>
          <w:rFonts w:ascii="Georgia" w:hAnsi="Georgia"/>
        </w:rPr>
        <w:t xml:space="preserve"> </w:t>
      </w:r>
      <w:r w:rsidRPr="008410DA">
        <w:rPr>
          <w:rFonts w:ascii="Georgia" w:hAnsi="Georgia"/>
        </w:rPr>
        <w:t xml:space="preserve">al più tardi, nel 2017, 2019 e 2021. </w:t>
      </w:r>
    </w:p>
    <w:p w:rsidR="00ED1F3E" w:rsidRPr="008410DA" w:rsidRDefault="00ED1F3E" w:rsidP="00ED1F3E">
      <w:pPr>
        <w:spacing w:after="120"/>
        <w:ind w:firstLine="357"/>
        <w:jc w:val="both"/>
        <w:rPr>
          <w:rFonts w:ascii="Georgia" w:hAnsi="Georgia"/>
        </w:rPr>
      </w:pPr>
      <w:r w:rsidRPr="008410DA">
        <w:rPr>
          <w:rFonts w:ascii="Georgia" w:hAnsi="Georgia"/>
        </w:rPr>
        <w:t xml:space="preserve">Nel 2014 </w:t>
      </w:r>
      <w:r w:rsidR="00795657">
        <w:rPr>
          <w:rFonts w:ascii="Georgia" w:hAnsi="Georgia"/>
        </w:rPr>
        <w:t>viene finalmente</w:t>
      </w:r>
      <w:r w:rsidRPr="008410DA">
        <w:rPr>
          <w:rFonts w:ascii="Georgia" w:hAnsi="Georgia"/>
        </w:rPr>
        <w:t xml:space="preserve"> approvata la </w:t>
      </w:r>
      <w:r w:rsidRPr="008410DA">
        <w:rPr>
          <w:rFonts w:ascii="Georgia" w:hAnsi="Georgia"/>
          <w:b/>
        </w:rPr>
        <w:t xml:space="preserve">Legge </w:t>
      </w:r>
      <w:r w:rsidR="000222F3">
        <w:rPr>
          <w:rFonts w:ascii="Georgia" w:hAnsi="Georgia"/>
          <w:b/>
        </w:rPr>
        <w:t xml:space="preserve">sul potenziamento </w:t>
      </w:r>
      <w:r w:rsidRPr="008410DA">
        <w:rPr>
          <w:rFonts w:ascii="Georgia" w:hAnsi="Georgia"/>
          <w:b/>
        </w:rPr>
        <w:t xml:space="preserve">delle energie rinnovabili </w:t>
      </w:r>
      <w:r w:rsidRPr="008410DA">
        <w:rPr>
          <w:rFonts w:ascii="Georgia" w:hAnsi="Georgia"/>
        </w:rPr>
        <w:t>(</w:t>
      </w:r>
      <w:proofErr w:type="spellStart"/>
      <w:r w:rsidR="000222F3" w:rsidRPr="000222F3">
        <w:rPr>
          <w:rFonts w:ascii="Georgia" w:hAnsi="Georgia" w:cs="Arial"/>
          <w:i/>
        </w:rPr>
        <w:fldChar w:fldCharType="begin"/>
      </w:r>
      <w:r w:rsidR="000222F3" w:rsidRPr="000222F3">
        <w:rPr>
          <w:rFonts w:ascii="Georgia" w:hAnsi="Georgia" w:cs="Arial"/>
          <w:i/>
        </w:rPr>
        <w:instrText xml:space="preserve"> HYPERLINK "http://www.buzer.de/gesetz/11230/index.htm" </w:instrText>
      </w:r>
      <w:r w:rsidR="000222F3" w:rsidRPr="000222F3">
        <w:rPr>
          <w:rFonts w:ascii="Georgia" w:hAnsi="Georgia" w:cs="Arial"/>
          <w:i/>
        </w:rPr>
        <w:fldChar w:fldCharType="separate"/>
      </w:r>
      <w:r w:rsidR="000222F3" w:rsidRPr="000222F3">
        <w:rPr>
          <w:rStyle w:val="Collegamentoipertestuale"/>
          <w:rFonts w:ascii="Georgia" w:hAnsi="Georgia" w:cs="Arial"/>
          <w:i/>
        </w:rPr>
        <w:t>Gesetz</w:t>
      </w:r>
      <w:proofErr w:type="spellEnd"/>
      <w:r w:rsidR="000222F3" w:rsidRPr="000222F3">
        <w:rPr>
          <w:rStyle w:val="Collegamentoipertestuale"/>
          <w:rFonts w:ascii="Georgia" w:hAnsi="Georgia" w:cs="Arial"/>
          <w:i/>
        </w:rPr>
        <w:t xml:space="preserve"> </w:t>
      </w:r>
      <w:proofErr w:type="spellStart"/>
      <w:r w:rsidR="000222F3" w:rsidRPr="000222F3">
        <w:rPr>
          <w:rStyle w:val="Collegamentoipertestuale"/>
          <w:rFonts w:ascii="Georgia" w:hAnsi="Georgia" w:cs="Arial"/>
          <w:i/>
        </w:rPr>
        <w:t>für</w:t>
      </w:r>
      <w:proofErr w:type="spellEnd"/>
      <w:r w:rsidR="000222F3" w:rsidRPr="000222F3">
        <w:rPr>
          <w:rStyle w:val="Collegamentoipertestuale"/>
          <w:rFonts w:ascii="Georgia" w:hAnsi="Georgia" w:cs="Arial"/>
          <w:i/>
        </w:rPr>
        <w:t xml:space="preserve"> </w:t>
      </w:r>
      <w:proofErr w:type="spellStart"/>
      <w:r w:rsidR="000222F3" w:rsidRPr="000222F3">
        <w:rPr>
          <w:rStyle w:val="Collegamentoipertestuale"/>
          <w:rFonts w:ascii="Georgia" w:hAnsi="Georgia" w:cs="Arial"/>
          <w:i/>
        </w:rPr>
        <w:t>den</w:t>
      </w:r>
      <w:proofErr w:type="spellEnd"/>
      <w:r w:rsidR="000222F3" w:rsidRPr="000222F3">
        <w:rPr>
          <w:rStyle w:val="Collegamentoipertestuale"/>
          <w:rFonts w:ascii="Georgia" w:hAnsi="Georgia" w:cs="Arial"/>
          <w:i/>
        </w:rPr>
        <w:t xml:space="preserve"> </w:t>
      </w:r>
      <w:proofErr w:type="spellStart"/>
      <w:r w:rsidR="000222F3" w:rsidRPr="000222F3">
        <w:rPr>
          <w:rStyle w:val="Collegamentoipertestuale"/>
          <w:rFonts w:ascii="Georgia" w:hAnsi="Georgia" w:cs="Arial"/>
          <w:i/>
        </w:rPr>
        <w:t>Ausbau</w:t>
      </w:r>
      <w:proofErr w:type="spellEnd"/>
      <w:r w:rsidR="000222F3" w:rsidRPr="000222F3">
        <w:rPr>
          <w:rStyle w:val="Collegamentoipertestuale"/>
          <w:rFonts w:ascii="Georgia" w:hAnsi="Georgia" w:cs="Arial"/>
          <w:i/>
        </w:rPr>
        <w:t xml:space="preserve"> </w:t>
      </w:r>
      <w:proofErr w:type="spellStart"/>
      <w:r w:rsidR="000222F3" w:rsidRPr="000222F3">
        <w:rPr>
          <w:rStyle w:val="Collegamentoipertestuale"/>
          <w:rFonts w:ascii="Georgia" w:hAnsi="Georgia" w:cs="Arial"/>
          <w:i/>
        </w:rPr>
        <w:t>erneuerbarer</w:t>
      </w:r>
      <w:proofErr w:type="spellEnd"/>
      <w:r w:rsidR="000222F3" w:rsidRPr="000222F3">
        <w:rPr>
          <w:rStyle w:val="Collegamentoipertestuale"/>
          <w:rFonts w:ascii="Georgia" w:hAnsi="Georgia" w:cs="Arial"/>
          <w:i/>
        </w:rPr>
        <w:t xml:space="preserve"> </w:t>
      </w:r>
      <w:proofErr w:type="spellStart"/>
      <w:r w:rsidR="000222F3" w:rsidRPr="000222F3">
        <w:rPr>
          <w:rStyle w:val="Collegamentoipertestuale"/>
          <w:rFonts w:ascii="Georgia" w:hAnsi="Georgia" w:cs="Arial"/>
          <w:i/>
        </w:rPr>
        <w:t>Energien</w:t>
      </w:r>
      <w:proofErr w:type="spellEnd"/>
      <w:r w:rsidR="000222F3" w:rsidRPr="000222F3">
        <w:rPr>
          <w:rStyle w:val="Collegamentoipertestuale"/>
          <w:rFonts w:ascii="Georgia" w:hAnsi="Georgia" w:cs="Arial"/>
          <w:i/>
        </w:rPr>
        <w:t xml:space="preserve"> (</w:t>
      </w:r>
      <w:proofErr w:type="spellStart"/>
      <w:r w:rsidR="000222F3" w:rsidRPr="000222F3">
        <w:rPr>
          <w:rStyle w:val="Collegamentoipertestuale"/>
          <w:rFonts w:ascii="Georgia" w:hAnsi="Georgia" w:cs="Arial"/>
          <w:i/>
        </w:rPr>
        <w:t>Erneuerbare-Energien-Gesetz</w:t>
      </w:r>
      <w:proofErr w:type="spellEnd"/>
      <w:r w:rsidR="000222F3" w:rsidRPr="000222F3">
        <w:rPr>
          <w:rStyle w:val="Collegamentoipertestuale"/>
          <w:rFonts w:ascii="Georgia" w:hAnsi="Georgia" w:cs="Arial"/>
          <w:i/>
        </w:rPr>
        <w:t xml:space="preserve"> - EEG 2017</w:t>
      </w:r>
      <w:r w:rsidR="000222F3" w:rsidRPr="000222F3">
        <w:rPr>
          <w:rFonts w:ascii="Georgia" w:hAnsi="Georgia" w:cs="Arial"/>
          <w:i/>
        </w:rPr>
        <w:fldChar w:fldCharType="end"/>
      </w:r>
      <w:r w:rsidR="00795657">
        <w:rPr>
          <w:rStyle w:val="Rimandonotaapidipagina"/>
          <w:rFonts w:ascii="Georgia" w:hAnsi="Georgia" w:cs="Arial"/>
          <w:i/>
        </w:rPr>
        <w:footnoteReference w:id="4"/>
      </w:r>
      <w:r w:rsidRPr="008410DA">
        <w:rPr>
          <w:rFonts w:ascii="Georgia" w:hAnsi="Georgia"/>
        </w:rPr>
        <w:t>)</w:t>
      </w:r>
      <w:r w:rsidR="00BD4787">
        <w:rPr>
          <w:rFonts w:ascii="Georgia" w:hAnsi="Georgia"/>
        </w:rPr>
        <w:t>,</w:t>
      </w:r>
      <w:r w:rsidRPr="008410DA">
        <w:rPr>
          <w:rFonts w:ascii="Georgia" w:hAnsi="Georgia"/>
        </w:rPr>
        <w:t xml:space="preserve"> del 21 luglio 2014</w:t>
      </w:r>
      <w:r w:rsidR="00BD4787">
        <w:rPr>
          <w:rFonts w:ascii="Georgia" w:hAnsi="Georgia"/>
        </w:rPr>
        <w:t>,</w:t>
      </w:r>
      <w:r w:rsidR="000222F3">
        <w:rPr>
          <w:rFonts w:ascii="Georgia" w:hAnsi="Georgia"/>
        </w:rPr>
        <w:t xml:space="preserve"> </w:t>
      </w:r>
      <w:r w:rsidRPr="008410DA">
        <w:rPr>
          <w:rFonts w:ascii="Georgia" w:hAnsi="Georgia"/>
        </w:rPr>
        <w:t xml:space="preserve">che </w:t>
      </w:r>
      <w:r w:rsidR="00795657">
        <w:rPr>
          <w:rFonts w:ascii="Georgia" w:hAnsi="Georgia"/>
        </w:rPr>
        <w:t xml:space="preserve">sostituisce la già citata legge del 2000 e </w:t>
      </w:r>
      <w:r w:rsidRPr="008410DA">
        <w:rPr>
          <w:rFonts w:ascii="Georgia" w:hAnsi="Georgia"/>
        </w:rPr>
        <w:t xml:space="preserve">rappresenta un importante passo in avanti verso una nuova fase di transizione energetica. </w:t>
      </w:r>
    </w:p>
    <w:p w:rsidR="00ED1F3E" w:rsidRPr="008410DA" w:rsidRDefault="00ED1F3E" w:rsidP="00ED1F3E">
      <w:pPr>
        <w:spacing w:after="120"/>
        <w:ind w:firstLine="357"/>
        <w:jc w:val="both"/>
        <w:rPr>
          <w:rFonts w:ascii="Georgia" w:hAnsi="Georgia"/>
          <w:bCs/>
          <w:iCs/>
        </w:rPr>
      </w:pPr>
      <w:r w:rsidRPr="008410DA">
        <w:rPr>
          <w:rFonts w:ascii="Georgia" w:hAnsi="Georgia"/>
        </w:rPr>
        <w:t xml:space="preserve">Al fine di tutelare l’ambiente e di mitigare gli effetti derivanti dall’uso di fonti non rinnovabili sul clima, la legge mira ad </w:t>
      </w:r>
      <w:r w:rsidRPr="00BD4787">
        <w:rPr>
          <w:rFonts w:ascii="Georgia" w:hAnsi="Georgia"/>
          <w:b/>
        </w:rPr>
        <w:t>aumentare</w:t>
      </w:r>
      <w:r w:rsidRPr="008410DA">
        <w:rPr>
          <w:rFonts w:ascii="Georgia" w:hAnsi="Georgia"/>
        </w:rPr>
        <w:t xml:space="preserve">, in modo costante ed efficiente, </w:t>
      </w:r>
      <w:r w:rsidRPr="00BD4787">
        <w:rPr>
          <w:rFonts w:ascii="Georgia" w:hAnsi="Georgia"/>
          <w:b/>
        </w:rPr>
        <w:t>la percentuale del contributo fornito dalle fonti energetiche rinnovabili</w:t>
      </w:r>
      <w:r w:rsidRPr="008410DA">
        <w:rPr>
          <w:rFonts w:ascii="Georgia" w:hAnsi="Georgia"/>
        </w:rPr>
        <w:t xml:space="preserve"> nell’ambito del consumo energetico, in particolare per quel che riguarda la produzione di energia elettrica. </w:t>
      </w:r>
      <w:r w:rsidRPr="008410DA">
        <w:rPr>
          <w:rFonts w:ascii="Georgia" w:hAnsi="Georgia"/>
          <w:bCs/>
          <w:iCs/>
        </w:rPr>
        <w:t>La legge prevede, quale punto cardine della transizione energetica, che la quota di energie rinnovabili nella fornitura di energia elettrica passi da circa il 33</w:t>
      </w:r>
      <w:r w:rsidR="00F736C2" w:rsidRPr="008410DA">
        <w:rPr>
          <w:rFonts w:ascii="Georgia" w:hAnsi="Georgia"/>
          <w:bCs/>
          <w:iCs/>
        </w:rPr>
        <w:t>%</w:t>
      </w:r>
      <w:r w:rsidRPr="008410DA">
        <w:rPr>
          <w:rFonts w:ascii="Georgia" w:hAnsi="Georgia"/>
          <w:bCs/>
          <w:iCs/>
        </w:rPr>
        <w:t xml:space="preserve"> al 40</w:t>
      </w:r>
      <w:r w:rsidR="00F736C2" w:rsidRPr="008410DA">
        <w:rPr>
          <w:rFonts w:ascii="Georgia" w:hAnsi="Georgia"/>
          <w:bCs/>
          <w:iCs/>
        </w:rPr>
        <w:t>%</w:t>
      </w:r>
      <w:r w:rsidRPr="008410DA">
        <w:rPr>
          <w:rFonts w:ascii="Georgia" w:hAnsi="Georgia"/>
          <w:bCs/>
          <w:iCs/>
        </w:rPr>
        <w:t xml:space="preserve"> fino ad arrivare al 45</w:t>
      </w:r>
      <w:r w:rsidR="00F736C2" w:rsidRPr="008410DA">
        <w:rPr>
          <w:rFonts w:ascii="Georgia" w:hAnsi="Georgia"/>
          <w:bCs/>
          <w:iCs/>
        </w:rPr>
        <w:t>%</w:t>
      </w:r>
      <w:r w:rsidRPr="008410DA">
        <w:rPr>
          <w:rFonts w:ascii="Georgia" w:hAnsi="Georgia"/>
          <w:bCs/>
          <w:iCs/>
        </w:rPr>
        <w:t xml:space="preserve"> nel 2025 e tra il 55 e il 60</w:t>
      </w:r>
      <w:r w:rsidR="00F736C2" w:rsidRPr="008410DA">
        <w:rPr>
          <w:rFonts w:ascii="Georgia" w:hAnsi="Georgia"/>
          <w:bCs/>
          <w:iCs/>
        </w:rPr>
        <w:t>%</w:t>
      </w:r>
      <w:r w:rsidRPr="008410DA">
        <w:rPr>
          <w:rFonts w:ascii="Georgia" w:hAnsi="Georgia"/>
          <w:bCs/>
          <w:iCs/>
        </w:rPr>
        <w:t xml:space="preserve"> nell’anno 2035. Nel 2050 la quota di energie rinnovabili deve salire fino all’80</w:t>
      </w:r>
      <w:r w:rsidR="00F736C2" w:rsidRPr="008410DA">
        <w:rPr>
          <w:rFonts w:ascii="Georgia" w:hAnsi="Georgia"/>
          <w:bCs/>
          <w:iCs/>
        </w:rPr>
        <w:t>%</w:t>
      </w:r>
      <w:r w:rsidRPr="008410DA">
        <w:rPr>
          <w:rFonts w:ascii="Georgia" w:hAnsi="Georgia"/>
        </w:rPr>
        <w:t xml:space="preserve"> </w:t>
      </w:r>
      <w:r w:rsidRPr="008410DA">
        <w:rPr>
          <w:rFonts w:ascii="Georgia" w:hAnsi="Georgia"/>
          <w:bCs/>
          <w:iCs/>
        </w:rPr>
        <w:t>(</w:t>
      </w:r>
      <w:hyperlink r:id="rId13" w:history="1">
        <w:r w:rsidRPr="008410DA">
          <w:rPr>
            <w:rStyle w:val="Collegamentoipertestuale"/>
            <w:rFonts w:ascii="Georgia" w:hAnsi="Georgia" w:cstheme="minorBidi"/>
            <w:bCs/>
            <w:iCs/>
          </w:rPr>
          <w:t>§</w:t>
        </w:r>
        <w:r w:rsidR="000222F3">
          <w:rPr>
            <w:rStyle w:val="Collegamentoipertestuale"/>
            <w:rFonts w:ascii="Georgia" w:hAnsi="Georgia" w:cstheme="minorBidi"/>
            <w:bCs/>
            <w:iCs/>
          </w:rPr>
          <w:t xml:space="preserve"> </w:t>
        </w:r>
        <w:r w:rsidRPr="008410DA">
          <w:rPr>
            <w:rStyle w:val="Collegamentoipertestuale"/>
            <w:rFonts w:ascii="Georgia" w:hAnsi="Georgia" w:cstheme="minorBidi"/>
            <w:bCs/>
            <w:iCs/>
          </w:rPr>
          <w:t>1</w:t>
        </w:r>
      </w:hyperlink>
      <w:r w:rsidRPr="008410DA">
        <w:rPr>
          <w:rFonts w:ascii="Georgia" w:hAnsi="Georgia"/>
          <w:bCs/>
          <w:iCs/>
        </w:rPr>
        <w:t>, comma 2</w:t>
      </w:r>
      <w:r w:rsidR="000222F3">
        <w:rPr>
          <w:rFonts w:ascii="Georgia" w:hAnsi="Georgia"/>
          <w:bCs/>
          <w:iCs/>
        </w:rPr>
        <w:t>,</w:t>
      </w:r>
      <w:r w:rsidRPr="008410DA">
        <w:rPr>
          <w:rFonts w:ascii="Georgia" w:hAnsi="Georgia"/>
          <w:bCs/>
          <w:iCs/>
        </w:rPr>
        <w:t xml:space="preserve"> EEG 201</w:t>
      </w:r>
      <w:r w:rsidR="00795657">
        <w:rPr>
          <w:rFonts w:ascii="Georgia" w:hAnsi="Georgia"/>
          <w:bCs/>
          <w:iCs/>
        </w:rPr>
        <w:t>7</w:t>
      </w:r>
      <w:r w:rsidRPr="008410DA">
        <w:rPr>
          <w:rFonts w:ascii="Georgia" w:hAnsi="Georgia"/>
          <w:bCs/>
          <w:iCs/>
        </w:rPr>
        <w:t>)</w:t>
      </w:r>
      <w:r w:rsidR="00250E2D" w:rsidRPr="008410DA">
        <w:rPr>
          <w:rFonts w:ascii="Georgia" w:hAnsi="Georgia"/>
          <w:bCs/>
          <w:iCs/>
        </w:rPr>
        <w:t>.</w:t>
      </w:r>
    </w:p>
    <w:p w:rsidR="00BD4787" w:rsidRDefault="00ED1F3E" w:rsidP="00ED1F3E">
      <w:pPr>
        <w:spacing w:after="120"/>
        <w:ind w:firstLine="357"/>
        <w:jc w:val="both"/>
        <w:rPr>
          <w:rFonts w:ascii="Georgia" w:hAnsi="Georgia"/>
        </w:rPr>
      </w:pPr>
      <w:r w:rsidRPr="008410DA">
        <w:rPr>
          <w:rFonts w:ascii="Georgia" w:hAnsi="Georgia"/>
        </w:rPr>
        <w:t>Per raggiungere tali obiettivi la legge prevede l</w:t>
      </w:r>
      <w:r w:rsidR="00BD4787">
        <w:rPr>
          <w:rFonts w:ascii="Georgia" w:hAnsi="Georgia"/>
        </w:rPr>
        <w:t>’attuazione delle</w:t>
      </w:r>
      <w:r w:rsidRPr="008410DA">
        <w:rPr>
          <w:rFonts w:ascii="Georgia" w:hAnsi="Georgia"/>
        </w:rPr>
        <w:t xml:space="preserve"> seguenti misure:</w:t>
      </w:r>
    </w:p>
    <w:p w:rsidR="00BD4787" w:rsidRPr="00BD4787" w:rsidRDefault="00ED1F3E" w:rsidP="00BD4787">
      <w:pPr>
        <w:pStyle w:val="Paragrafoelenco"/>
        <w:numPr>
          <w:ilvl w:val="0"/>
          <w:numId w:val="23"/>
        </w:numPr>
        <w:spacing w:after="60"/>
        <w:ind w:left="850" w:hanging="425"/>
        <w:contextualSpacing w:val="0"/>
        <w:jc w:val="both"/>
        <w:rPr>
          <w:rFonts w:ascii="Georgia" w:hAnsi="Georgia"/>
        </w:rPr>
      </w:pPr>
      <w:r w:rsidRPr="00BD4787">
        <w:rPr>
          <w:rFonts w:ascii="Georgia" w:hAnsi="Georgia"/>
        </w:rPr>
        <w:t>migliore integrazione della rete di distribuzione (</w:t>
      </w:r>
      <w:hyperlink r:id="rId14" w:history="1">
        <w:r w:rsidR="000222F3">
          <w:rPr>
            <w:rStyle w:val="Collegamentoipertestuale"/>
            <w:rFonts w:ascii="Georgia" w:hAnsi="Georgia"/>
          </w:rPr>
          <w:t>§</w:t>
        </w:r>
        <w:r w:rsidRPr="000222F3">
          <w:rPr>
            <w:rStyle w:val="Collegamentoipertestuale"/>
            <w:rFonts w:ascii="Georgia" w:hAnsi="Georgia"/>
          </w:rPr>
          <w:t xml:space="preserve"> 2</w:t>
        </w:r>
      </w:hyperlink>
      <w:r w:rsidR="00F736C2" w:rsidRPr="00BD4787">
        <w:rPr>
          <w:rFonts w:ascii="Georgia" w:hAnsi="Georgia"/>
        </w:rPr>
        <w:t>,</w:t>
      </w:r>
      <w:r w:rsidRPr="00BD4787">
        <w:rPr>
          <w:rFonts w:ascii="Georgia" w:hAnsi="Georgia"/>
        </w:rPr>
        <w:t xml:space="preserve"> comma 1);</w:t>
      </w:r>
    </w:p>
    <w:p w:rsidR="00BD4787" w:rsidRPr="00BD4787" w:rsidRDefault="00ED1F3E" w:rsidP="00BD4787">
      <w:pPr>
        <w:pStyle w:val="Paragrafoelenco"/>
        <w:numPr>
          <w:ilvl w:val="0"/>
          <w:numId w:val="23"/>
        </w:numPr>
        <w:spacing w:after="60"/>
        <w:ind w:left="850" w:hanging="425"/>
        <w:contextualSpacing w:val="0"/>
        <w:jc w:val="both"/>
        <w:rPr>
          <w:rFonts w:ascii="Georgia" w:hAnsi="Georgia"/>
        </w:rPr>
      </w:pPr>
      <w:r w:rsidRPr="00BD4787">
        <w:rPr>
          <w:rFonts w:ascii="Georgia" w:hAnsi="Georgia"/>
        </w:rPr>
        <w:lastRenderedPageBreak/>
        <w:t>assu</w:t>
      </w:r>
      <w:r w:rsidR="00BD4787">
        <w:rPr>
          <w:rFonts w:ascii="Georgia" w:hAnsi="Georgia"/>
        </w:rPr>
        <w:t xml:space="preserve">nzione di </w:t>
      </w:r>
      <w:r w:rsidRPr="00BD4787">
        <w:rPr>
          <w:rFonts w:ascii="Georgia" w:hAnsi="Georgia"/>
        </w:rPr>
        <w:t xml:space="preserve">maggiori </w:t>
      </w:r>
      <w:r w:rsidR="00BD4787">
        <w:rPr>
          <w:rFonts w:ascii="Georgia" w:hAnsi="Georgia"/>
        </w:rPr>
        <w:t xml:space="preserve">oneri e </w:t>
      </w:r>
      <w:r w:rsidRPr="00BD4787">
        <w:rPr>
          <w:rFonts w:ascii="Georgia" w:hAnsi="Georgia"/>
        </w:rPr>
        <w:t xml:space="preserve">responsabilità </w:t>
      </w:r>
      <w:r w:rsidR="00BD4787">
        <w:rPr>
          <w:rFonts w:ascii="Georgia" w:hAnsi="Georgia"/>
        </w:rPr>
        <w:t xml:space="preserve">da parte dei </w:t>
      </w:r>
      <w:r w:rsidR="00BD4787" w:rsidRPr="00BD4787">
        <w:rPr>
          <w:rFonts w:ascii="Georgia" w:hAnsi="Georgia"/>
        </w:rPr>
        <w:t xml:space="preserve">produttori di </w:t>
      </w:r>
      <w:r w:rsidR="00BD4787">
        <w:rPr>
          <w:rFonts w:ascii="Georgia" w:hAnsi="Georgia"/>
        </w:rPr>
        <w:t xml:space="preserve">energia da </w:t>
      </w:r>
      <w:r w:rsidR="00BD4787" w:rsidRPr="00BD4787">
        <w:rPr>
          <w:rFonts w:ascii="Georgia" w:hAnsi="Georgia"/>
        </w:rPr>
        <w:t>fonti rinnovabili</w:t>
      </w:r>
      <w:r w:rsidRPr="00BD4787">
        <w:rPr>
          <w:rFonts w:ascii="Georgia" w:hAnsi="Georgia"/>
        </w:rPr>
        <w:t>, adeguando, in tal senso, la propria posizione a quella finora prevista per i produttori di energia da fonti convenzionali;</w:t>
      </w:r>
    </w:p>
    <w:p w:rsidR="00BD4787" w:rsidRPr="00BD4787" w:rsidRDefault="00ED1F3E" w:rsidP="00BD4787">
      <w:pPr>
        <w:pStyle w:val="Paragrafoelenco"/>
        <w:numPr>
          <w:ilvl w:val="0"/>
          <w:numId w:val="23"/>
        </w:numPr>
        <w:spacing w:after="60"/>
        <w:ind w:left="850" w:hanging="425"/>
        <w:contextualSpacing w:val="0"/>
        <w:jc w:val="both"/>
        <w:rPr>
          <w:rFonts w:ascii="Georgia" w:hAnsi="Georgia"/>
        </w:rPr>
      </w:pPr>
      <w:r w:rsidRPr="00BD4787">
        <w:rPr>
          <w:rFonts w:ascii="Georgia" w:hAnsi="Georgia"/>
        </w:rPr>
        <w:t xml:space="preserve">integrazione </w:t>
      </w:r>
      <w:r w:rsidR="003C3351">
        <w:rPr>
          <w:rFonts w:ascii="Georgia" w:hAnsi="Georgia"/>
        </w:rPr>
        <w:t xml:space="preserve">nel mercato </w:t>
      </w:r>
      <w:r w:rsidRPr="00BD4787">
        <w:rPr>
          <w:rFonts w:ascii="Georgia" w:hAnsi="Georgia"/>
        </w:rPr>
        <w:t>dell’energia prodotta attraverso fonti rinnovabili;</w:t>
      </w:r>
    </w:p>
    <w:p w:rsidR="00BD4787" w:rsidRPr="00BD4787" w:rsidRDefault="003C3351" w:rsidP="00BD4787">
      <w:pPr>
        <w:pStyle w:val="Paragrafoelenco"/>
        <w:numPr>
          <w:ilvl w:val="0"/>
          <w:numId w:val="23"/>
        </w:numPr>
        <w:spacing w:after="60"/>
        <w:ind w:left="850" w:hanging="425"/>
        <w:contextualSpacing w:val="0"/>
        <w:jc w:val="both"/>
        <w:rPr>
          <w:rFonts w:ascii="Georgia" w:hAnsi="Georgia"/>
        </w:rPr>
      </w:pPr>
      <w:r>
        <w:rPr>
          <w:rFonts w:ascii="Georgia" w:hAnsi="Georgia"/>
        </w:rPr>
        <w:t>immissione diretta nel mercato del</w:t>
      </w:r>
      <w:r w:rsidR="00ED1F3E" w:rsidRPr="00BD4787">
        <w:rPr>
          <w:rFonts w:ascii="Georgia" w:hAnsi="Georgia"/>
        </w:rPr>
        <w:t xml:space="preserve">l’energia prodotta attraverso fonti rinnovabili </w:t>
      </w:r>
      <w:r>
        <w:rPr>
          <w:rFonts w:ascii="Georgia" w:hAnsi="Georgia"/>
        </w:rPr>
        <w:t>da parte</w:t>
      </w:r>
      <w:r w:rsidR="00ED1F3E" w:rsidRPr="00BD4787">
        <w:rPr>
          <w:rFonts w:ascii="Georgia" w:hAnsi="Georgia"/>
        </w:rPr>
        <w:t xml:space="preserve"> d</w:t>
      </w:r>
      <w:r>
        <w:rPr>
          <w:rFonts w:ascii="Georgia" w:hAnsi="Georgia"/>
        </w:rPr>
        <w:t>e</w:t>
      </w:r>
      <w:r w:rsidR="00ED1F3E" w:rsidRPr="00BD4787">
        <w:rPr>
          <w:rFonts w:ascii="Georgia" w:hAnsi="Georgia"/>
        </w:rPr>
        <w:t>i produttori della stessa (</w:t>
      </w:r>
      <w:hyperlink r:id="rId15" w:history="1">
        <w:r w:rsidR="000222F3">
          <w:rPr>
            <w:rStyle w:val="Collegamentoipertestuale"/>
            <w:rFonts w:ascii="Georgia" w:hAnsi="Georgia"/>
          </w:rPr>
          <w:t>§</w:t>
        </w:r>
        <w:r w:rsidR="000222F3" w:rsidRPr="000222F3">
          <w:rPr>
            <w:rStyle w:val="Collegamentoipertestuale"/>
            <w:rFonts w:ascii="Georgia" w:hAnsi="Georgia"/>
          </w:rPr>
          <w:t xml:space="preserve"> 2</w:t>
        </w:r>
      </w:hyperlink>
      <w:r w:rsidR="00ED1F3E" w:rsidRPr="00BD4787">
        <w:rPr>
          <w:rFonts w:ascii="Georgia" w:hAnsi="Georgia"/>
        </w:rPr>
        <w:t>,</w:t>
      </w:r>
      <w:r w:rsidR="000222F3">
        <w:rPr>
          <w:rFonts w:ascii="Georgia" w:hAnsi="Georgia"/>
        </w:rPr>
        <w:t xml:space="preserve"> </w:t>
      </w:r>
      <w:r w:rsidR="00ED1F3E" w:rsidRPr="00BD4787">
        <w:rPr>
          <w:rFonts w:ascii="Georgia" w:hAnsi="Georgia"/>
        </w:rPr>
        <w:t xml:space="preserve">comma 2, e </w:t>
      </w:r>
      <w:hyperlink r:id="rId16" w:history="1">
        <w:r w:rsidR="000222F3" w:rsidRPr="000222F3">
          <w:rPr>
            <w:rStyle w:val="Collegamentoipertestuale"/>
            <w:rFonts w:ascii="Georgia" w:hAnsi="Georgia"/>
          </w:rPr>
          <w:t>§</w:t>
        </w:r>
        <w:r w:rsidRPr="000222F3">
          <w:rPr>
            <w:rStyle w:val="Collegamentoipertestuale"/>
            <w:rFonts w:ascii="Georgia" w:hAnsi="Georgia"/>
          </w:rPr>
          <w:t xml:space="preserve"> </w:t>
        </w:r>
        <w:r w:rsidR="00ED1F3E" w:rsidRPr="000222F3">
          <w:rPr>
            <w:rStyle w:val="Collegamentoipertestuale"/>
            <w:rFonts w:ascii="Georgia" w:hAnsi="Georgia"/>
          </w:rPr>
          <w:t>19</w:t>
        </w:r>
      </w:hyperlink>
      <w:r w:rsidR="00ED1F3E" w:rsidRPr="00BD4787">
        <w:rPr>
          <w:rFonts w:ascii="Georgia" w:hAnsi="Georgia"/>
        </w:rPr>
        <w:t>, comma 1);</w:t>
      </w:r>
    </w:p>
    <w:p w:rsidR="00ED1F3E" w:rsidRPr="00BD4787" w:rsidRDefault="00B438D2" w:rsidP="00BD4787">
      <w:pPr>
        <w:pStyle w:val="Paragrafoelenco"/>
        <w:numPr>
          <w:ilvl w:val="0"/>
          <w:numId w:val="23"/>
        </w:numPr>
        <w:spacing w:after="120"/>
        <w:ind w:left="851" w:hanging="425"/>
        <w:jc w:val="both"/>
        <w:rPr>
          <w:rFonts w:ascii="Georgia" w:hAnsi="Georgia"/>
        </w:rPr>
      </w:pPr>
      <w:r>
        <w:rPr>
          <w:rFonts w:ascii="Georgia" w:hAnsi="Georgia"/>
        </w:rPr>
        <w:t>erogazione d</w:t>
      </w:r>
      <w:r w:rsidR="00ED1F3E" w:rsidRPr="00BD4787">
        <w:rPr>
          <w:rFonts w:ascii="Georgia" w:hAnsi="Georgia"/>
        </w:rPr>
        <w:t xml:space="preserve">i contributi pubblici di tipo economico </w:t>
      </w:r>
      <w:r w:rsidR="00BD4787" w:rsidRPr="00BD4787">
        <w:rPr>
          <w:rFonts w:ascii="Georgia" w:hAnsi="Georgia"/>
        </w:rPr>
        <w:t>a</w:t>
      </w:r>
      <w:r>
        <w:rPr>
          <w:rFonts w:ascii="Georgia" w:hAnsi="Georgia"/>
        </w:rPr>
        <w:t>l fine di</w:t>
      </w:r>
      <w:r w:rsidR="00ED1F3E" w:rsidRPr="00BD4787">
        <w:rPr>
          <w:rFonts w:ascii="Georgia" w:hAnsi="Georgia"/>
        </w:rPr>
        <w:t xml:space="preserve"> favorire le tecnologie meno costose (</w:t>
      </w:r>
      <w:hyperlink r:id="rId17" w:history="1">
        <w:r w:rsidR="000222F3">
          <w:rPr>
            <w:rStyle w:val="Collegamentoipertestuale"/>
            <w:rFonts w:ascii="Georgia" w:hAnsi="Georgia"/>
          </w:rPr>
          <w:t>§</w:t>
        </w:r>
        <w:r w:rsidR="000222F3" w:rsidRPr="000222F3">
          <w:rPr>
            <w:rStyle w:val="Collegamentoipertestuale"/>
            <w:rFonts w:ascii="Georgia" w:hAnsi="Georgia"/>
          </w:rPr>
          <w:t xml:space="preserve"> 2</w:t>
        </w:r>
      </w:hyperlink>
      <w:r w:rsidR="00ED1F3E" w:rsidRPr="00BD4787">
        <w:rPr>
          <w:rFonts w:ascii="Georgia" w:hAnsi="Georgia"/>
        </w:rPr>
        <w:t>, comma 3), cioè l’energia prodotta attraverso il vento ed il sole (motivazione della legge)</w:t>
      </w:r>
      <w:r w:rsidR="00BD4787" w:rsidRPr="00BD4787">
        <w:rPr>
          <w:rFonts w:ascii="Georgia" w:hAnsi="Georgia"/>
        </w:rPr>
        <w:t xml:space="preserve">, ed </w:t>
      </w:r>
      <w:r>
        <w:rPr>
          <w:rFonts w:ascii="Georgia" w:hAnsi="Georgia"/>
        </w:rPr>
        <w:t>assegna</w:t>
      </w:r>
      <w:r w:rsidR="00BD4787" w:rsidRPr="00BD4787">
        <w:rPr>
          <w:rFonts w:ascii="Georgia" w:hAnsi="Georgia"/>
        </w:rPr>
        <w:t xml:space="preserve">ti inoltre in base </w:t>
      </w:r>
      <w:r w:rsidR="00ED1F3E" w:rsidRPr="00BD4787">
        <w:rPr>
          <w:rFonts w:ascii="Georgia" w:hAnsi="Georgia"/>
        </w:rPr>
        <w:t>al principio del “chi inquina paga” e delle più recenti scoperte scientifiche relative all’energia (</w:t>
      </w:r>
      <w:hyperlink r:id="rId18" w:history="1">
        <w:r w:rsidR="000222F3">
          <w:rPr>
            <w:rStyle w:val="Collegamentoipertestuale"/>
            <w:rFonts w:ascii="Georgia" w:hAnsi="Georgia"/>
          </w:rPr>
          <w:t>§</w:t>
        </w:r>
        <w:r w:rsidR="000222F3" w:rsidRPr="000222F3">
          <w:rPr>
            <w:rStyle w:val="Collegamentoipertestuale"/>
            <w:rFonts w:ascii="Georgia" w:hAnsi="Georgia"/>
          </w:rPr>
          <w:t xml:space="preserve"> 2</w:t>
        </w:r>
      </w:hyperlink>
      <w:r w:rsidR="00ED1F3E" w:rsidRPr="00BD4787">
        <w:rPr>
          <w:rFonts w:ascii="Georgia" w:hAnsi="Georgia"/>
        </w:rPr>
        <w:t>,</w:t>
      </w:r>
      <w:r w:rsidR="000222F3">
        <w:rPr>
          <w:rFonts w:ascii="Georgia" w:hAnsi="Georgia"/>
        </w:rPr>
        <w:t xml:space="preserve"> </w:t>
      </w:r>
      <w:r w:rsidR="00ED1F3E" w:rsidRPr="00BD4787">
        <w:rPr>
          <w:rFonts w:ascii="Georgia" w:hAnsi="Georgia"/>
        </w:rPr>
        <w:t>comma 4)</w:t>
      </w:r>
      <w:r w:rsidR="00BD4787" w:rsidRPr="00BD4787">
        <w:rPr>
          <w:rFonts w:ascii="Georgia" w:hAnsi="Georgia"/>
        </w:rPr>
        <w:t>, nonché</w:t>
      </w:r>
      <w:r w:rsidR="00ED1F3E" w:rsidRPr="00BD4787">
        <w:rPr>
          <w:rFonts w:ascii="Georgia" w:hAnsi="Georgia"/>
        </w:rPr>
        <w:t xml:space="preserve"> al principio della partecipazione diretta alla produzione globale di energia derivante da fonti rinnovabili.</w:t>
      </w:r>
    </w:p>
    <w:p w:rsidR="00ED1F3E" w:rsidRPr="008410DA" w:rsidRDefault="00795657" w:rsidP="00ED1F3E">
      <w:pPr>
        <w:spacing w:after="120"/>
        <w:ind w:firstLine="357"/>
        <w:jc w:val="both"/>
        <w:rPr>
          <w:rFonts w:ascii="Georgia" w:hAnsi="Georgia"/>
          <w:bCs/>
          <w:iCs/>
        </w:rPr>
      </w:pPr>
      <w:r>
        <w:rPr>
          <w:rFonts w:ascii="Georgia" w:hAnsi="Georgia"/>
          <w:bCs/>
          <w:iCs/>
        </w:rPr>
        <w:t>Il 13 ottobre</w:t>
      </w:r>
      <w:r w:rsidR="00ED1F3E" w:rsidRPr="008410DA">
        <w:rPr>
          <w:rFonts w:ascii="Georgia" w:hAnsi="Georgia"/>
          <w:bCs/>
          <w:iCs/>
        </w:rPr>
        <w:t xml:space="preserve"> 2016 è stata</w:t>
      </w:r>
      <w:r>
        <w:rPr>
          <w:rFonts w:ascii="Georgia" w:hAnsi="Georgia"/>
          <w:bCs/>
          <w:iCs/>
        </w:rPr>
        <w:t xml:space="preserve">, infine, varata </w:t>
      </w:r>
      <w:r w:rsidR="00ED1F3E" w:rsidRPr="008410DA">
        <w:rPr>
          <w:rFonts w:ascii="Georgia" w:hAnsi="Georgia"/>
          <w:bCs/>
          <w:iCs/>
        </w:rPr>
        <w:t xml:space="preserve">la </w:t>
      </w:r>
      <w:r w:rsidR="00ED1F3E" w:rsidRPr="008410DA">
        <w:rPr>
          <w:rFonts w:ascii="Georgia" w:hAnsi="Georgia"/>
          <w:b/>
          <w:bCs/>
          <w:iCs/>
        </w:rPr>
        <w:t>Legge che introduce le procedure di gara</w:t>
      </w:r>
      <w:r w:rsidR="000A0A15" w:rsidRPr="008410DA">
        <w:rPr>
          <w:rFonts w:ascii="Georgia" w:hAnsi="Georgia"/>
          <w:b/>
          <w:bCs/>
          <w:iCs/>
        </w:rPr>
        <w:t xml:space="preserve"> </w:t>
      </w:r>
      <w:r w:rsidR="00ED1F3E" w:rsidRPr="008410DA">
        <w:rPr>
          <w:rFonts w:ascii="Georgia" w:hAnsi="Georgia"/>
          <w:b/>
          <w:bCs/>
          <w:iCs/>
        </w:rPr>
        <w:t>per la produzione di energia da fonti rinnovabili e che modifica il diritto in materia di energie rinnovabili</w:t>
      </w:r>
      <w:r w:rsidR="00ED1F3E" w:rsidRPr="008410DA">
        <w:rPr>
          <w:rFonts w:ascii="Georgia" w:hAnsi="Georgia"/>
          <w:bCs/>
          <w:iCs/>
        </w:rPr>
        <w:t xml:space="preserve"> (</w:t>
      </w:r>
      <w:proofErr w:type="spellStart"/>
      <w:r w:rsidR="005E2B73" w:rsidRPr="008410DA">
        <w:fldChar w:fldCharType="begin"/>
      </w:r>
      <w:r w:rsidR="005E2B73" w:rsidRPr="008410DA">
        <w:rPr>
          <w:rFonts w:ascii="Georgia" w:hAnsi="Georgia"/>
        </w:rPr>
        <w:instrText xml:space="preserve"> HYPERLINK "http://www.buzer.de/gesetz/12213/index.htm" </w:instrText>
      </w:r>
      <w:r w:rsidR="005E2B73" w:rsidRPr="008410DA">
        <w:fldChar w:fldCharType="separate"/>
      </w:r>
      <w:r w:rsidR="00ED1F3E" w:rsidRPr="008410DA">
        <w:rPr>
          <w:rStyle w:val="Collegamentoipertestuale"/>
          <w:rFonts w:ascii="Georgia" w:hAnsi="Georgia" w:cstheme="minorBidi"/>
          <w:bCs/>
          <w:i/>
          <w:iCs/>
        </w:rPr>
        <w:t>Gesetz</w:t>
      </w:r>
      <w:proofErr w:type="spellEnd"/>
      <w:r w:rsidR="00ED1F3E" w:rsidRPr="008410DA">
        <w:rPr>
          <w:rStyle w:val="Collegamentoipertestuale"/>
          <w:rFonts w:ascii="Georgia" w:hAnsi="Georgia" w:cstheme="minorBidi"/>
          <w:bCs/>
          <w:i/>
          <w:iCs/>
        </w:rPr>
        <w:t xml:space="preserve"> </w:t>
      </w:r>
      <w:proofErr w:type="spellStart"/>
      <w:r w:rsidR="00ED1F3E" w:rsidRPr="008410DA">
        <w:rPr>
          <w:rStyle w:val="Collegamentoipertestuale"/>
          <w:rFonts w:ascii="Georgia" w:hAnsi="Georgia" w:cstheme="minorBidi"/>
          <w:bCs/>
          <w:i/>
          <w:iCs/>
        </w:rPr>
        <w:t>zur</w:t>
      </w:r>
      <w:proofErr w:type="spellEnd"/>
      <w:r w:rsidR="00ED1F3E" w:rsidRPr="008410DA">
        <w:rPr>
          <w:rStyle w:val="Collegamentoipertestuale"/>
          <w:rFonts w:ascii="Georgia" w:hAnsi="Georgia" w:cstheme="minorBidi"/>
          <w:bCs/>
          <w:i/>
          <w:iCs/>
        </w:rPr>
        <w:t xml:space="preserve"> </w:t>
      </w:r>
      <w:proofErr w:type="spellStart"/>
      <w:r w:rsidR="00ED1F3E" w:rsidRPr="008410DA">
        <w:rPr>
          <w:rStyle w:val="Collegamentoipertestuale"/>
          <w:rFonts w:ascii="Georgia" w:hAnsi="Georgia" w:cstheme="minorBidi"/>
          <w:bCs/>
          <w:i/>
          <w:iCs/>
        </w:rPr>
        <w:t>Einführung</w:t>
      </w:r>
      <w:proofErr w:type="spellEnd"/>
      <w:r w:rsidR="00ED1F3E" w:rsidRPr="008410DA">
        <w:rPr>
          <w:rStyle w:val="Collegamentoipertestuale"/>
          <w:rFonts w:ascii="Georgia" w:hAnsi="Georgia" w:cstheme="minorBidi"/>
          <w:bCs/>
          <w:i/>
          <w:iCs/>
        </w:rPr>
        <w:t xml:space="preserve"> von </w:t>
      </w:r>
      <w:proofErr w:type="spellStart"/>
      <w:r w:rsidR="00ED1F3E" w:rsidRPr="008410DA">
        <w:rPr>
          <w:rStyle w:val="Collegamentoipertestuale"/>
          <w:rFonts w:ascii="Georgia" w:hAnsi="Georgia" w:cstheme="minorBidi"/>
          <w:bCs/>
          <w:i/>
          <w:iCs/>
        </w:rPr>
        <w:t>Ausschreibungen</w:t>
      </w:r>
      <w:proofErr w:type="spellEnd"/>
      <w:r w:rsidR="00ED1F3E" w:rsidRPr="008410DA">
        <w:rPr>
          <w:rStyle w:val="Collegamentoipertestuale"/>
          <w:rFonts w:ascii="Georgia" w:hAnsi="Georgia" w:cstheme="minorBidi"/>
          <w:bCs/>
          <w:i/>
          <w:iCs/>
        </w:rPr>
        <w:t xml:space="preserve"> </w:t>
      </w:r>
      <w:proofErr w:type="spellStart"/>
      <w:r w:rsidR="00ED1F3E" w:rsidRPr="008410DA">
        <w:rPr>
          <w:rStyle w:val="Collegamentoipertestuale"/>
          <w:rFonts w:ascii="Georgia" w:hAnsi="Georgia" w:cstheme="minorBidi"/>
          <w:bCs/>
          <w:i/>
          <w:iCs/>
        </w:rPr>
        <w:t>für</w:t>
      </w:r>
      <w:proofErr w:type="spellEnd"/>
      <w:r w:rsidR="00ED1F3E" w:rsidRPr="008410DA">
        <w:rPr>
          <w:rStyle w:val="Collegamentoipertestuale"/>
          <w:rFonts w:ascii="Georgia" w:hAnsi="Georgia" w:cstheme="minorBidi"/>
          <w:bCs/>
          <w:i/>
          <w:iCs/>
        </w:rPr>
        <w:t xml:space="preserve"> </w:t>
      </w:r>
      <w:proofErr w:type="spellStart"/>
      <w:r w:rsidR="00ED1F3E" w:rsidRPr="008410DA">
        <w:rPr>
          <w:rStyle w:val="Collegamentoipertestuale"/>
          <w:rFonts w:ascii="Georgia" w:hAnsi="Georgia" w:cstheme="minorBidi"/>
          <w:bCs/>
          <w:i/>
          <w:iCs/>
        </w:rPr>
        <w:t>Strom</w:t>
      </w:r>
      <w:proofErr w:type="spellEnd"/>
      <w:r w:rsidR="00ED1F3E" w:rsidRPr="008410DA">
        <w:rPr>
          <w:rStyle w:val="Collegamentoipertestuale"/>
          <w:rFonts w:ascii="Georgia" w:hAnsi="Georgia" w:cstheme="minorBidi"/>
          <w:bCs/>
          <w:i/>
          <w:iCs/>
        </w:rPr>
        <w:t xml:space="preserve"> </w:t>
      </w:r>
      <w:proofErr w:type="spellStart"/>
      <w:r w:rsidR="00ED1F3E" w:rsidRPr="008410DA">
        <w:rPr>
          <w:rStyle w:val="Collegamentoipertestuale"/>
          <w:rFonts w:ascii="Georgia" w:hAnsi="Georgia" w:cstheme="minorBidi"/>
          <w:bCs/>
          <w:i/>
          <w:iCs/>
        </w:rPr>
        <w:t>aus</w:t>
      </w:r>
      <w:proofErr w:type="spellEnd"/>
      <w:r w:rsidR="00ED1F3E" w:rsidRPr="008410DA">
        <w:rPr>
          <w:rStyle w:val="Collegamentoipertestuale"/>
          <w:rFonts w:ascii="Georgia" w:hAnsi="Georgia" w:cstheme="minorBidi"/>
          <w:bCs/>
          <w:i/>
          <w:iCs/>
        </w:rPr>
        <w:t xml:space="preserve"> </w:t>
      </w:r>
      <w:proofErr w:type="spellStart"/>
      <w:r w:rsidR="00ED1F3E" w:rsidRPr="008410DA">
        <w:rPr>
          <w:rStyle w:val="Collegamentoipertestuale"/>
          <w:rFonts w:ascii="Georgia" w:hAnsi="Georgia" w:cstheme="minorBidi"/>
          <w:bCs/>
          <w:i/>
          <w:iCs/>
        </w:rPr>
        <w:t>erneuerbaren</w:t>
      </w:r>
      <w:proofErr w:type="spellEnd"/>
      <w:r w:rsidR="00ED1F3E" w:rsidRPr="008410DA">
        <w:rPr>
          <w:rStyle w:val="Collegamentoipertestuale"/>
          <w:rFonts w:ascii="Georgia" w:hAnsi="Georgia" w:cstheme="minorBidi"/>
          <w:bCs/>
          <w:i/>
          <w:iCs/>
        </w:rPr>
        <w:t xml:space="preserve"> </w:t>
      </w:r>
      <w:proofErr w:type="spellStart"/>
      <w:r w:rsidR="00ED1F3E" w:rsidRPr="008410DA">
        <w:rPr>
          <w:rStyle w:val="Collegamentoipertestuale"/>
          <w:rFonts w:ascii="Georgia" w:hAnsi="Georgia" w:cstheme="minorBidi"/>
          <w:bCs/>
          <w:i/>
          <w:iCs/>
        </w:rPr>
        <w:t>Energien</w:t>
      </w:r>
      <w:proofErr w:type="spellEnd"/>
      <w:r w:rsidR="00ED1F3E" w:rsidRPr="008410DA">
        <w:rPr>
          <w:rStyle w:val="Collegamentoipertestuale"/>
          <w:rFonts w:ascii="Georgia" w:hAnsi="Georgia" w:cstheme="minorBidi"/>
          <w:bCs/>
          <w:i/>
          <w:iCs/>
        </w:rPr>
        <w:t xml:space="preserve"> und </w:t>
      </w:r>
      <w:proofErr w:type="spellStart"/>
      <w:r w:rsidR="00ED1F3E" w:rsidRPr="008410DA">
        <w:rPr>
          <w:rStyle w:val="Collegamentoipertestuale"/>
          <w:rFonts w:ascii="Georgia" w:hAnsi="Georgia" w:cstheme="minorBidi"/>
          <w:bCs/>
          <w:i/>
          <w:iCs/>
        </w:rPr>
        <w:t>zu</w:t>
      </w:r>
      <w:proofErr w:type="spellEnd"/>
      <w:r w:rsidR="00ED1F3E" w:rsidRPr="008410DA">
        <w:rPr>
          <w:rStyle w:val="Collegamentoipertestuale"/>
          <w:rFonts w:ascii="Georgia" w:hAnsi="Georgia" w:cstheme="minorBidi"/>
          <w:bCs/>
          <w:i/>
          <w:iCs/>
        </w:rPr>
        <w:t xml:space="preserve"> </w:t>
      </w:r>
      <w:proofErr w:type="spellStart"/>
      <w:r w:rsidR="00ED1F3E" w:rsidRPr="008410DA">
        <w:rPr>
          <w:rStyle w:val="Collegamentoipertestuale"/>
          <w:rFonts w:ascii="Georgia" w:hAnsi="Georgia" w:cstheme="minorBidi"/>
          <w:bCs/>
          <w:i/>
          <w:iCs/>
        </w:rPr>
        <w:t>weiteren</w:t>
      </w:r>
      <w:proofErr w:type="spellEnd"/>
      <w:r w:rsidR="00ED1F3E" w:rsidRPr="008410DA">
        <w:rPr>
          <w:rStyle w:val="Collegamentoipertestuale"/>
          <w:rFonts w:ascii="Georgia" w:hAnsi="Georgia" w:cstheme="minorBidi"/>
          <w:bCs/>
          <w:i/>
          <w:iCs/>
        </w:rPr>
        <w:t xml:space="preserve"> </w:t>
      </w:r>
      <w:proofErr w:type="spellStart"/>
      <w:r w:rsidR="00ED1F3E" w:rsidRPr="008410DA">
        <w:rPr>
          <w:rStyle w:val="Collegamentoipertestuale"/>
          <w:rFonts w:ascii="Georgia" w:hAnsi="Georgia" w:cstheme="minorBidi"/>
          <w:bCs/>
          <w:i/>
          <w:iCs/>
        </w:rPr>
        <w:t>Änderungen</w:t>
      </w:r>
      <w:proofErr w:type="spellEnd"/>
      <w:r w:rsidR="00ED1F3E" w:rsidRPr="008410DA">
        <w:rPr>
          <w:rStyle w:val="Collegamentoipertestuale"/>
          <w:rFonts w:ascii="Georgia" w:hAnsi="Georgia" w:cstheme="minorBidi"/>
          <w:bCs/>
          <w:i/>
          <w:iCs/>
        </w:rPr>
        <w:t xml:space="preserve"> </w:t>
      </w:r>
      <w:proofErr w:type="spellStart"/>
      <w:r w:rsidR="00ED1F3E" w:rsidRPr="008410DA">
        <w:rPr>
          <w:rStyle w:val="Collegamentoipertestuale"/>
          <w:rFonts w:ascii="Georgia" w:hAnsi="Georgia" w:cstheme="minorBidi"/>
          <w:bCs/>
          <w:i/>
          <w:iCs/>
        </w:rPr>
        <w:t>des</w:t>
      </w:r>
      <w:proofErr w:type="spellEnd"/>
      <w:r w:rsidR="00ED1F3E" w:rsidRPr="008410DA">
        <w:rPr>
          <w:rStyle w:val="Collegamentoipertestuale"/>
          <w:rFonts w:ascii="Georgia" w:hAnsi="Georgia" w:cstheme="minorBidi"/>
          <w:bCs/>
          <w:i/>
          <w:iCs/>
        </w:rPr>
        <w:t xml:space="preserve"> </w:t>
      </w:r>
      <w:proofErr w:type="spellStart"/>
      <w:r w:rsidR="00ED1F3E" w:rsidRPr="008410DA">
        <w:rPr>
          <w:rStyle w:val="Collegamentoipertestuale"/>
          <w:rFonts w:ascii="Georgia" w:hAnsi="Georgia" w:cstheme="minorBidi"/>
          <w:bCs/>
          <w:i/>
          <w:iCs/>
        </w:rPr>
        <w:t>Rechts</w:t>
      </w:r>
      <w:proofErr w:type="spellEnd"/>
      <w:r w:rsidR="00ED1F3E" w:rsidRPr="008410DA">
        <w:rPr>
          <w:rStyle w:val="Collegamentoipertestuale"/>
          <w:rFonts w:ascii="Georgia" w:hAnsi="Georgia" w:cstheme="minorBidi"/>
          <w:bCs/>
          <w:i/>
          <w:iCs/>
        </w:rPr>
        <w:t xml:space="preserve"> </w:t>
      </w:r>
      <w:proofErr w:type="spellStart"/>
      <w:r w:rsidR="00ED1F3E" w:rsidRPr="008410DA">
        <w:rPr>
          <w:rStyle w:val="Collegamentoipertestuale"/>
          <w:rFonts w:ascii="Georgia" w:hAnsi="Georgia" w:cstheme="minorBidi"/>
          <w:bCs/>
          <w:i/>
          <w:iCs/>
        </w:rPr>
        <w:t>der</w:t>
      </w:r>
      <w:proofErr w:type="spellEnd"/>
      <w:r w:rsidR="00ED1F3E" w:rsidRPr="008410DA">
        <w:rPr>
          <w:rStyle w:val="Collegamentoipertestuale"/>
          <w:rFonts w:ascii="Georgia" w:hAnsi="Georgia" w:cstheme="minorBidi"/>
          <w:bCs/>
          <w:i/>
          <w:iCs/>
        </w:rPr>
        <w:t xml:space="preserve"> </w:t>
      </w:r>
      <w:proofErr w:type="spellStart"/>
      <w:r w:rsidR="00ED1F3E" w:rsidRPr="008410DA">
        <w:rPr>
          <w:rStyle w:val="Collegamentoipertestuale"/>
          <w:rFonts w:ascii="Georgia" w:hAnsi="Georgia" w:cstheme="minorBidi"/>
          <w:bCs/>
          <w:i/>
          <w:iCs/>
        </w:rPr>
        <w:t>erneuerbaren</w:t>
      </w:r>
      <w:proofErr w:type="spellEnd"/>
      <w:r w:rsidR="00ED1F3E" w:rsidRPr="008410DA">
        <w:rPr>
          <w:rStyle w:val="Collegamentoipertestuale"/>
          <w:rFonts w:ascii="Georgia" w:hAnsi="Georgia" w:cstheme="minorBidi"/>
          <w:bCs/>
          <w:i/>
          <w:iCs/>
        </w:rPr>
        <w:t xml:space="preserve"> </w:t>
      </w:r>
      <w:proofErr w:type="spellStart"/>
      <w:r w:rsidR="00ED1F3E" w:rsidRPr="008410DA">
        <w:rPr>
          <w:rStyle w:val="Collegamentoipertestuale"/>
          <w:rFonts w:ascii="Georgia" w:hAnsi="Georgia" w:cstheme="minorBidi"/>
          <w:bCs/>
          <w:i/>
          <w:iCs/>
        </w:rPr>
        <w:t>Energien</w:t>
      </w:r>
      <w:proofErr w:type="spellEnd"/>
      <w:r w:rsidR="005E2B73" w:rsidRPr="008410DA">
        <w:rPr>
          <w:rStyle w:val="Collegamentoipertestuale"/>
          <w:rFonts w:ascii="Georgia" w:hAnsi="Georgia" w:cstheme="minorBidi"/>
          <w:bCs/>
          <w:i/>
          <w:iCs/>
        </w:rPr>
        <w:fldChar w:fldCharType="end"/>
      </w:r>
      <w:r w:rsidR="00ED1F3E" w:rsidRPr="008410DA">
        <w:rPr>
          <w:rFonts w:ascii="Georgia" w:hAnsi="Georgia"/>
          <w:bCs/>
          <w:iCs/>
        </w:rPr>
        <w:t>)</w:t>
      </w:r>
      <w:r>
        <w:rPr>
          <w:rFonts w:ascii="Georgia" w:hAnsi="Georgia"/>
          <w:bCs/>
          <w:iCs/>
        </w:rPr>
        <w:t>,</w:t>
      </w:r>
      <w:r w:rsidR="00ED1F3E" w:rsidRPr="008410DA">
        <w:rPr>
          <w:rFonts w:ascii="Georgia" w:hAnsi="Georgia"/>
          <w:bCs/>
          <w:iCs/>
        </w:rPr>
        <w:t xml:space="preserve"> in vigore </w:t>
      </w:r>
      <w:r>
        <w:rPr>
          <w:rFonts w:ascii="Georgia" w:hAnsi="Georgia"/>
          <w:bCs/>
          <w:iCs/>
        </w:rPr>
        <w:t>da</w:t>
      </w:r>
      <w:r w:rsidR="00ED1F3E" w:rsidRPr="008410DA">
        <w:rPr>
          <w:rFonts w:ascii="Georgia" w:hAnsi="Georgia"/>
          <w:bCs/>
          <w:iCs/>
        </w:rPr>
        <w:t>l 1° gennaio 2017</w:t>
      </w:r>
      <w:r w:rsidR="0020095E">
        <w:rPr>
          <w:rFonts w:ascii="Georgia" w:hAnsi="Georgia"/>
          <w:bCs/>
          <w:iCs/>
        </w:rPr>
        <w:t xml:space="preserve"> e contenente </w:t>
      </w:r>
      <w:r w:rsidR="005C2A40">
        <w:rPr>
          <w:rFonts w:ascii="Georgia" w:hAnsi="Georgia"/>
          <w:bCs/>
          <w:iCs/>
        </w:rPr>
        <w:t xml:space="preserve">l’introduzione di due nuove leggi e le </w:t>
      </w:r>
      <w:r w:rsidR="0020095E">
        <w:rPr>
          <w:rFonts w:ascii="Georgia" w:hAnsi="Georgia"/>
          <w:bCs/>
          <w:iCs/>
        </w:rPr>
        <w:t>modifiche a ben 22 atti normativi (sia leggi che regolamenti attuativi)</w:t>
      </w:r>
      <w:r w:rsidR="00ED1F3E" w:rsidRPr="008410DA">
        <w:rPr>
          <w:rFonts w:ascii="Georgia" w:hAnsi="Georgia"/>
          <w:bCs/>
          <w:iCs/>
        </w:rPr>
        <w:t>. Le energie rinnovabili assumono dunque un ruolo centrale nella produzione di energia elettrica</w:t>
      </w:r>
      <w:r>
        <w:rPr>
          <w:rFonts w:ascii="Georgia" w:hAnsi="Georgia"/>
          <w:bCs/>
          <w:iCs/>
        </w:rPr>
        <w:t xml:space="preserve">, ciò che </w:t>
      </w:r>
      <w:r w:rsidR="00ED1F3E" w:rsidRPr="008410DA">
        <w:rPr>
          <w:rFonts w:ascii="Georgia" w:hAnsi="Georgia"/>
          <w:bCs/>
          <w:iCs/>
        </w:rPr>
        <w:t>comporta una trasformazione del sistema globale dell’approvvigionamento energetico: da una parte i mercati dell’energia devono adeguarsi a questa quota crescente di energie rinnovabili, dall’altra le energie rinnovabili devono essere sempre più integrate nel sistema dei mercati elettrici e nel sistema di approvvigionamento energetico.</w:t>
      </w:r>
      <w:r w:rsidR="000A0A15" w:rsidRPr="008410DA">
        <w:rPr>
          <w:rFonts w:ascii="Georgia" w:hAnsi="Georgia"/>
          <w:bCs/>
          <w:iCs/>
        </w:rPr>
        <w:t xml:space="preserve"> </w:t>
      </w:r>
    </w:p>
    <w:p w:rsidR="00ED1F3E" w:rsidRPr="008410DA" w:rsidRDefault="00ED1F3E" w:rsidP="00ED1F3E">
      <w:pPr>
        <w:spacing w:after="120"/>
        <w:ind w:firstLine="357"/>
        <w:jc w:val="both"/>
        <w:rPr>
          <w:rFonts w:ascii="Georgia" w:hAnsi="Georgia"/>
          <w:bCs/>
          <w:iCs/>
        </w:rPr>
      </w:pPr>
      <w:r w:rsidRPr="008410DA">
        <w:rPr>
          <w:rFonts w:ascii="Georgia" w:hAnsi="Georgia"/>
          <w:bCs/>
          <w:iCs/>
        </w:rPr>
        <w:t>A tale scopo l</w:t>
      </w:r>
      <w:r w:rsidR="0020095E">
        <w:rPr>
          <w:rFonts w:ascii="Georgia" w:hAnsi="Georgia"/>
          <w:bCs/>
          <w:iCs/>
        </w:rPr>
        <w:t>’art. 1 di questa legge, che apporta modifiche alla legge del 2014,</w:t>
      </w:r>
      <w:r w:rsidRPr="008410DA">
        <w:rPr>
          <w:rFonts w:ascii="Georgia" w:hAnsi="Georgia"/>
          <w:bCs/>
          <w:iCs/>
        </w:rPr>
        <w:t xml:space="preserve"> mira ad un sostanziale cambiamento del sistema di approvvigionamento energetico, </w:t>
      </w:r>
      <w:r w:rsidR="0020095E">
        <w:rPr>
          <w:rFonts w:ascii="Georgia" w:hAnsi="Georgia"/>
          <w:bCs/>
          <w:iCs/>
        </w:rPr>
        <w:t xml:space="preserve">passando </w:t>
      </w:r>
      <w:r w:rsidRPr="008410DA">
        <w:rPr>
          <w:rFonts w:ascii="Georgia" w:hAnsi="Georgia"/>
          <w:bCs/>
          <w:iCs/>
        </w:rPr>
        <w:t xml:space="preserve">da un modello di alimentazione ad una procedura di gara, già testata </w:t>
      </w:r>
      <w:r w:rsidR="0020095E">
        <w:rPr>
          <w:rFonts w:ascii="Georgia" w:hAnsi="Georgia"/>
          <w:bCs/>
          <w:iCs/>
        </w:rPr>
        <w:t xml:space="preserve">peraltro </w:t>
      </w:r>
      <w:r w:rsidRPr="008410DA">
        <w:rPr>
          <w:rFonts w:ascii="Georgia" w:hAnsi="Georgia"/>
          <w:bCs/>
          <w:iCs/>
        </w:rPr>
        <w:t>come progetto pilota nell’ambito delle centrali fotovoltaiche.</w:t>
      </w:r>
    </w:p>
    <w:p w:rsidR="00ED1F3E" w:rsidRPr="008410DA" w:rsidRDefault="005C2A40" w:rsidP="00ED1F3E">
      <w:pPr>
        <w:spacing w:after="120"/>
        <w:ind w:firstLine="357"/>
        <w:jc w:val="both"/>
        <w:rPr>
          <w:rFonts w:ascii="Georgia" w:hAnsi="Georgia"/>
          <w:bCs/>
          <w:iCs/>
        </w:rPr>
      </w:pPr>
      <w:r>
        <w:rPr>
          <w:rFonts w:ascii="Georgia" w:hAnsi="Georgia"/>
          <w:bCs/>
          <w:iCs/>
        </w:rPr>
        <w:t>In virtù degli interventi di modifica della prima</w:t>
      </w:r>
      <w:r w:rsidR="00ED1F3E" w:rsidRPr="008410DA">
        <w:rPr>
          <w:rFonts w:ascii="Georgia" w:hAnsi="Georgia"/>
          <w:bCs/>
          <w:iCs/>
        </w:rPr>
        <w:t xml:space="preserve"> </w:t>
      </w:r>
      <w:r>
        <w:rPr>
          <w:rFonts w:ascii="Georgia" w:hAnsi="Georgia"/>
          <w:bCs/>
          <w:iCs/>
        </w:rPr>
        <w:t>l</w:t>
      </w:r>
      <w:r w:rsidR="00ED1F3E" w:rsidRPr="008410DA">
        <w:rPr>
          <w:rFonts w:ascii="Georgia" w:hAnsi="Georgia"/>
          <w:bCs/>
          <w:iCs/>
        </w:rPr>
        <w:t>egge sull</w:t>
      </w:r>
      <w:r>
        <w:rPr>
          <w:rFonts w:ascii="Georgia" w:hAnsi="Georgia"/>
          <w:bCs/>
          <w:iCs/>
        </w:rPr>
        <w:t xml:space="preserve">e </w:t>
      </w:r>
      <w:r w:rsidR="00ED1F3E" w:rsidRPr="008410DA">
        <w:rPr>
          <w:rFonts w:ascii="Georgia" w:hAnsi="Georgia"/>
          <w:bCs/>
          <w:iCs/>
        </w:rPr>
        <w:t>energie rinnovabili</w:t>
      </w:r>
      <w:r>
        <w:rPr>
          <w:rFonts w:ascii="Georgia" w:hAnsi="Georgia"/>
          <w:bCs/>
          <w:iCs/>
        </w:rPr>
        <w:t xml:space="preserve"> del 2000</w:t>
      </w:r>
      <w:r w:rsidR="00ED1F3E" w:rsidRPr="008410DA">
        <w:rPr>
          <w:rFonts w:ascii="Georgia" w:hAnsi="Georgia"/>
          <w:bCs/>
          <w:iCs/>
        </w:rPr>
        <w:t>,</w:t>
      </w:r>
      <w:r w:rsidR="000A0A15" w:rsidRPr="008410DA">
        <w:rPr>
          <w:rFonts w:ascii="Georgia" w:hAnsi="Georgia"/>
          <w:bCs/>
          <w:iCs/>
        </w:rPr>
        <w:t xml:space="preserve"> </w:t>
      </w:r>
      <w:r>
        <w:rPr>
          <w:rFonts w:ascii="Georgia" w:hAnsi="Georgia"/>
          <w:bCs/>
          <w:iCs/>
        </w:rPr>
        <w:t xml:space="preserve">susseguitisi nel corso degli anni, </w:t>
      </w:r>
      <w:r w:rsidR="00ED1F3E" w:rsidRPr="008410DA">
        <w:rPr>
          <w:rFonts w:ascii="Georgia" w:hAnsi="Georgia"/>
          <w:bCs/>
          <w:iCs/>
        </w:rPr>
        <w:t>le rinnovabili sono state introdotte gradualmente nel mercato della diretta commercializzazione.</w:t>
      </w:r>
      <w:r w:rsidR="000A0A15" w:rsidRPr="008410DA">
        <w:rPr>
          <w:rFonts w:ascii="Georgia" w:hAnsi="Georgia"/>
          <w:bCs/>
          <w:iCs/>
        </w:rPr>
        <w:t xml:space="preserve"> </w:t>
      </w:r>
      <w:r w:rsidR="00ED1F3E" w:rsidRPr="008410DA">
        <w:rPr>
          <w:rFonts w:ascii="Georgia" w:hAnsi="Georgia"/>
          <w:bCs/>
          <w:iCs/>
        </w:rPr>
        <w:t xml:space="preserve">In particolare, con la Legge </w:t>
      </w:r>
      <w:r>
        <w:rPr>
          <w:rFonts w:ascii="Georgia" w:hAnsi="Georgia"/>
          <w:bCs/>
          <w:iCs/>
        </w:rPr>
        <w:t>del 2016</w:t>
      </w:r>
      <w:r w:rsidR="00ED1F3E" w:rsidRPr="008410DA">
        <w:rPr>
          <w:rFonts w:ascii="Georgia" w:hAnsi="Georgia"/>
          <w:bCs/>
          <w:iCs/>
        </w:rPr>
        <w:t xml:space="preserve"> è stato deciso di adattare il sistema di approvvigionamento energetico ai bandi</w:t>
      </w:r>
      <w:r>
        <w:rPr>
          <w:rFonts w:ascii="Georgia" w:hAnsi="Georgia"/>
          <w:bCs/>
          <w:iCs/>
        </w:rPr>
        <w:t xml:space="preserve">: in altri termini, </w:t>
      </w:r>
      <w:r w:rsidR="00ED1F3E" w:rsidRPr="008410DA">
        <w:rPr>
          <w:rFonts w:ascii="Georgia" w:hAnsi="Georgia"/>
          <w:bCs/>
          <w:iCs/>
        </w:rPr>
        <w:t xml:space="preserve">i </w:t>
      </w:r>
      <w:r>
        <w:rPr>
          <w:rFonts w:ascii="Georgia" w:hAnsi="Georgia"/>
          <w:bCs/>
          <w:iCs/>
        </w:rPr>
        <w:t>contributi</w:t>
      </w:r>
      <w:r w:rsidR="00ED1F3E" w:rsidRPr="008410DA">
        <w:rPr>
          <w:rFonts w:ascii="Georgia" w:hAnsi="Georgia"/>
          <w:bCs/>
          <w:iCs/>
        </w:rPr>
        <w:t xml:space="preserve"> </w:t>
      </w:r>
      <w:r>
        <w:rPr>
          <w:rFonts w:ascii="Georgia" w:hAnsi="Georgia"/>
          <w:bCs/>
          <w:iCs/>
        </w:rPr>
        <w:t>al</w:t>
      </w:r>
      <w:r w:rsidR="00ED1F3E" w:rsidRPr="008410DA">
        <w:rPr>
          <w:rFonts w:ascii="Georgia" w:hAnsi="Georgia"/>
          <w:bCs/>
          <w:iCs/>
        </w:rPr>
        <w:t xml:space="preserve">le imprese produttrici di energie rinnovabili devono essere assegnati sulla base di un bando. Ciò rende possibili </w:t>
      </w:r>
      <w:r>
        <w:rPr>
          <w:rFonts w:ascii="Georgia" w:hAnsi="Georgia"/>
          <w:bCs/>
          <w:iCs/>
        </w:rPr>
        <w:t xml:space="preserve">sia </w:t>
      </w:r>
      <w:r w:rsidR="00ED1F3E" w:rsidRPr="008410DA">
        <w:rPr>
          <w:rFonts w:ascii="Georgia" w:hAnsi="Georgia"/>
          <w:bCs/>
          <w:iCs/>
        </w:rPr>
        <w:t>un m</w:t>
      </w:r>
      <w:r w:rsidR="00F42DDB">
        <w:rPr>
          <w:rFonts w:ascii="Georgia" w:hAnsi="Georgia"/>
          <w:bCs/>
          <w:iCs/>
        </w:rPr>
        <w:t>agg</w:t>
      </w:r>
      <w:r w:rsidR="00ED1F3E" w:rsidRPr="008410DA">
        <w:rPr>
          <w:rFonts w:ascii="Georgia" w:hAnsi="Georgia"/>
          <w:bCs/>
          <w:iCs/>
        </w:rPr>
        <w:t xml:space="preserve">iore controllo dello sviluppo e un </w:t>
      </w:r>
      <w:r w:rsidR="00F42DDB">
        <w:rPr>
          <w:rFonts w:ascii="Georgia" w:hAnsi="Georgia"/>
          <w:bCs/>
          <w:iCs/>
        </w:rPr>
        <w:t xml:space="preserve">più efficace </w:t>
      </w:r>
      <w:r w:rsidR="00ED1F3E" w:rsidRPr="008410DA">
        <w:rPr>
          <w:rFonts w:ascii="Georgia" w:hAnsi="Georgia"/>
          <w:bCs/>
          <w:iCs/>
        </w:rPr>
        <w:t xml:space="preserve">raccordo con la pianificazione della rete di distribuzione, </w:t>
      </w:r>
      <w:r>
        <w:rPr>
          <w:rFonts w:ascii="Georgia" w:hAnsi="Georgia"/>
          <w:bCs/>
          <w:iCs/>
        </w:rPr>
        <w:t>sia un</w:t>
      </w:r>
      <w:r w:rsidR="00ED1F3E" w:rsidRPr="008410DA">
        <w:rPr>
          <w:rFonts w:ascii="Georgia" w:hAnsi="Georgia"/>
          <w:bCs/>
          <w:iCs/>
        </w:rPr>
        <w:t xml:space="preserve"> miglioramento della sicurezza nella pianificazione per gli altri attori del mercato dell’energia, </w:t>
      </w:r>
      <w:r w:rsidR="00F42DDB">
        <w:rPr>
          <w:rFonts w:ascii="Georgia" w:hAnsi="Georgia"/>
          <w:bCs/>
          <w:iCs/>
        </w:rPr>
        <w:t>incontr</w:t>
      </w:r>
      <w:r>
        <w:rPr>
          <w:rFonts w:ascii="Georgia" w:hAnsi="Georgia"/>
          <w:bCs/>
          <w:iCs/>
        </w:rPr>
        <w:t>ando inoltre</w:t>
      </w:r>
      <w:r w:rsidR="00F42DDB">
        <w:rPr>
          <w:rFonts w:ascii="Georgia" w:hAnsi="Georgia"/>
          <w:bCs/>
          <w:iCs/>
        </w:rPr>
        <w:t xml:space="preserve"> </w:t>
      </w:r>
      <w:r w:rsidR="00ED1F3E" w:rsidRPr="008410DA">
        <w:rPr>
          <w:rFonts w:ascii="Georgia" w:hAnsi="Georgia"/>
          <w:bCs/>
          <w:iCs/>
        </w:rPr>
        <w:t xml:space="preserve">la richiesta della Commissione europea </w:t>
      </w:r>
      <w:r w:rsidR="00F42DDB">
        <w:rPr>
          <w:rFonts w:ascii="Georgia" w:hAnsi="Georgia"/>
          <w:bCs/>
          <w:iCs/>
        </w:rPr>
        <w:t>di un maggiore avvicinamento del</w:t>
      </w:r>
      <w:r w:rsidR="00ED1F3E" w:rsidRPr="008410DA">
        <w:rPr>
          <w:rFonts w:ascii="Georgia" w:hAnsi="Georgia"/>
          <w:bCs/>
          <w:iCs/>
        </w:rPr>
        <w:t>la produzione d</w:t>
      </w:r>
      <w:r w:rsidR="00F42DDB">
        <w:rPr>
          <w:rFonts w:ascii="Georgia" w:hAnsi="Georgia"/>
          <w:bCs/>
          <w:iCs/>
        </w:rPr>
        <w:t xml:space="preserve">i </w:t>
      </w:r>
      <w:r w:rsidR="00ED1F3E" w:rsidRPr="008410DA">
        <w:rPr>
          <w:rFonts w:ascii="Georgia" w:hAnsi="Georgia"/>
          <w:bCs/>
          <w:iCs/>
        </w:rPr>
        <w:t>energi</w:t>
      </w:r>
      <w:r w:rsidR="00F42DDB">
        <w:rPr>
          <w:rFonts w:ascii="Georgia" w:hAnsi="Georgia"/>
          <w:bCs/>
          <w:iCs/>
        </w:rPr>
        <w:t>e rinnovabili</w:t>
      </w:r>
      <w:r w:rsidR="00ED1F3E" w:rsidRPr="008410DA">
        <w:rPr>
          <w:rFonts w:ascii="Georgia" w:hAnsi="Georgia"/>
          <w:bCs/>
          <w:iCs/>
        </w:rPr>
        <w:t xml:space="preserve"> alle logiche di mercato. </w:t>
      </w:r>
    </w:p>
    <w:p w:rsidR="00ED1F3E" w:rsidRPr="008410DA" w:rsidRDefault="00774DCE" w:rsidP="00ED1F3E">
      <w:pPr>
        <w:spacing w:after="120"/>
        <w:ind w:firstLine="357"/>
        <w:jc w:val="both"/>
        <w:rPr>
          <w:rFonts w:ascii="Georgia" w:hAnsi="Georgia"/>
          <w:bCs/>
          <w:iCs/>
        </w:rPr>
      </w:pPr>
      <w:r>
        <w:rPr>
          <w:rFonts w:ascii="Georgia" w:hAnsi="Georgia"/>
          <w:bCs/>
          <w:iCs/>
        </w:rPr>
        <w:t>A</w:t>
      </w:r>
      <w:r w:rsidR="00ED1F3E" w:rsidRPr="008410DA">
        <w:rPr>
          <w:rFonts w:ascii="Georgia" w:hAnsi="Georgia"/>
          <w:bCs/>
          <w:iCs/>
        </w:rPr>
        <w:t>l fine di aumentare l'efficienza nel campo dell’energia elettrica e della produzione di calore,</w:t>
      </w:r>
      <w:r>
        <w:rPr>
          <w:rFonts w:ascii="Georgia" w:hAnsi="Georgia"/>
          <w:bCs/>
          <w:iCs/>
        </w:rPr>
        <w:t xml:space="preserve"> </w:t>
      </w:r>
      <w:r w:rsidR="00ED1F3E" w:rsidRPr="008410DA">
        <w:rPr>
          <w:rFonts w:ascii="Georgia" w:hAnsi="Georgia"/>
          <w:bCs/>
          <w:iCs/>
        </w:rPr>
        <w:t xml:space="preserve">il Governo federale tedesco ha sostenuto </w:t>
      </w:r>
      <w:r>
        <w:rPr>
          <w:rFonts w:ascii="Georgia" w:hAnsi="Georgia"/>
          <w:bCs/>
          <w:iCs/>
        </w:rPr>
        <w:t xml:space="preserve">nel 2015 </w:t>
      </w:r>
      <w:r w:rsidR="00ED1F3E" w:rsidRPr="008410DA">
        <w:rPr>
          <w:rFonts w:ascii="Georgia" w:hAnsi="Georgia"/>
          <w:bCs/>
          <w:iCs/>
        </w:rPr>
        <w:lastRenderedPageBreak/>
        <w:t>l'espansione della produzione combinata di calore ed elettricità, in particolare attraverso l</w:t>
      </w:r>
      <w:r>
        <w:rPr>
          <w:rFonts w:ascii="Georgia" w:hAnsi="Georgia"/>
          <w:bCs/>
          <w:iCs/>
        </w:rPr>
        <w:t>’approvazione dell</w:t>
      </w:r>
      <w:r w:rsidR="00ED1F3E" w:rsidRPr="008410DA">
        <w:rPr>
          <w:rFonts w:ascii="Georgia" w:hAnsi="Georgia"/>
          <w:bCs/>
          <w:iCs/>
        </w:rPr>
        <w:t xml:space="preserve">a </w:t>
      </w:r>
      <w:r w:rsidR="00ED1F3E" w:rsidRPr="008410DA">
        <w:rPr>
          <w:rFonts w:ascii="Georgia" w:hAnsi="Georgia"/>
          <w:b/>
          <w:bCs/>
          <w:iCs/>
        </w:rPr>
        <w:t>Legge per la manutenzione, l'ammodernamento e l'espansione della produzione combinata di calore ed energia</w:t>
      </w:r>
      <w:r w:rsidR="00ED1F3E" w:rsidRPr="008410DA">
        <w:rPr>
          <w:rFonts w:ascii="Georgia" w:hAnsi="Georgia"/>
          <w:bCs/>
          <w:iCs/>
        </w:rPr>
        <w:t xml:space="preserve"> (Legge di Cogenerazione – CHP) (</w:t>
      </w:r>
      <w:proofErr w:type="spellStart"/>
      <w:r w:rsidR="00751923">
        <w:rPr>
          <w:rFonts w:ascii="Georgia" w:hAnsi="Georgia" w:cstheme="minorBidi"/>
          <w:bCs/>
          <w:iCs/>
        </w:rPr>
        <w:fldChar w:fldCharType="begin"/>
      </w:r>
      <w:r w:rsidR="00751923">
        <w:rPr>
          <w:rFonts w:ascii="Georgia" w:hAnsi="Georgia" w:cstheme="minorBidi"/>
          <w:bCs/>
          <w:iCs/>
        </w:rPr>
        <w:instrText xml:space="preserve"> HYPERLINK "https://www.buzer.de/gesetz/11872/index.htm" </w:instrText>
      </w:r>
      <w:r w:rsidR="00751923">
        <w:rPr>
          <w:rFonts w:ascii="Georgia" w:hAnsi="Georgia" w:cstheme="minorBidi"/>
          <w:bCs/>
          <w:iCs/>
        </w:rPr>
        <w:fldChar w:fldCharType="separate"/>
      </w:r>
      <w:r w:rsidR="00ED1F3E" w:rsidRPr="00751923">
        <w:rPr>
          <w:rStyle w:val="Collegamentoipertestuale"/>
          <w:rFonts w:ascii="Georgia" w:hAnsi="Georgia" w:cstheme="minorBidi"/>
          <w:bCs/>
          <w:iCs/>
        </w:rPr>
        <w:t>G</w:t>
      </w:r>
      <w:r w:rsidR="00ED1F3E" w:rsidRPr="00751923">
        <w:rPr>
          <w:rStyle w:val="Collegamentoipertestuale"/>
          <w:rFonts w:ascii="Georgia" w:hAnsi="Georgia" w:cstheme="minorBidi"/>
          <w:bCs/>
          <w:i/>
          <w:iCs/>
        </w:rPr>
        <w:t>esetz</w:t>
      </w:r>
      <w:proofErr w:type="spellEnd"/>
      <w:r w:rsidR="00ED1F3E" w:rsidRPr="00751923">
        <w:rPr>
          <w:rStyle w:val="Collegamentoipertestuale"/>
          <w:rFonts w:ascii="Georgia" w:hAnsi="Georgia" w:cstheme="minorBidi"/>
          <w:bCs/>
          <w:i/>
          <w:iCs/>
        </w:rPr>
        <w:t xml:space="preserve"> </w:t>
      </w:r>
      <w:proofErr w:type="spellStart"/>
      <w:r w:rsidR="00ED1F3E" w:rsidRPr="00751923">
        <w:rPr>
          <w:rStyle w:val="Collegamentoipertestuale"/>
          <w:rFonts w:ascii="Georgia" w:hAnsi="Georgia" w:cstheme="minorBidi"/>
          <w:bCs/>
          <w:i/>
          <w:iCs/>
        </w:rPr>
        <w:t>für</w:t>
      </w:r>
      <w:proofErr w:type="spellEnd"/>
      <w:r w:rsidR="00ED1F3E" w:rsidRPr="00751923">
        <w:rPr>
          <w:rStyle w:val="Collegamentoipertestuale"/>
          <w:rFonts w:ascii="Georgia" w:hAnsi="Georgia" w:cstheme="minorBidi"/>
          <w:bCs/>
          <w:i/>
          <w:iCs/>
        </w:rPr>
        <w:t xml:space="preserve"> die </w:t>
      </w:r>
      <w:proofErr w:type="spellStart"/>
      <w:r w:rsidR="00ED1F3E" w:rsidRPr="00751923">
        <w:rPr>
          <w:rStyle w:val="Collegamentoipertestuale"/>
          <w:rFonts w:ascii="Georgia" w:hAnsi="Georgia" w:cstheme="minorBidi"/>
          <w:bCs/>
          <w:i/>
          <w:iCs/>
        </w:rPr>
        <w:t>Erhaltung</w:t>
      </w:r>
      <w:proofErr w:type="spellEnd"/>
      <w:r w:rsidR="00ED1F3E" w:rsidRPr="00751923">
        <w:rPr>
          <w:rStyle w:val="Collegamentoipertestuale"/>
          <w:rFonts w:ascii="Georgia" w:hAnsi="Georgia" w:cstheme="minorBidi"/>
          <w:bCs/>
          <w:i/>
          <w:iCs/>
        </w:rPr>
        <w:t xml:space="preserve">, die </w:t>
      </w:r>
      <w:proofErr w:type="spellStart"/>
      <w:r w:rsidR="00ED1F3E" w:rsidRPr="00751923">
        <w:rPr>
          <w:rStyle w:val="Collegamentoipertestuale"/>
          <w:rFonts w:ascii="Georgia" w:hAnsi="Georgia" w:cstheme="minorBidi"/>
          <w:bCs/>
          <w:i/>
          <w:iCs/>
        </w:rPr>
        <w:t>Modernisierung</w:t>
      </w:r>
      <w:proofErr w:type="spellEnd"/>
      <w:r w:rsidR="00ED1F3E" w:rsidRPr="00751923">
        <w:rPr>
          <w:rStyle w:val="Collegamentoipertestuale"/>
          <w:rFonts w:ascii="Georgia" w:hAnsi="Georgia" w:cstheme="minorBidi"/>
          <w:bCs/>
          <w:i/>
          <w:iCs/>
        </w:rPr>
        <w:t xml:space="preserve"> und </w:t>
      </w:r>
      <w:proofErr w:type="spellStart"/>
      <w:r w:rsidR="00ED1F3E" w:rsidRPr="00751923">
        <w:rPr>
          <w:rStyle w:val="Collegamentoipertestuale"/>
          <w:rFonts w:ascii="Georgia" w:hAnsi="Georgia" w:cstheme="minorBidi"/>
          <w:bCs/>
          <w:i/>
          <w:iCs/>
        </w:rPr>
        <w:t>den</w:t>
      </w:r>
      <w:proofErr w:type="spellEnd"/>
      <w:r w:rsidR="00ED1F3E" w:rsidRPr="00751923">
        <w:rPr>
          <w:rStyle w:val="Collegamentoipertestuale"/>
          <w:rFonts w:ascii="Georgia" w:hAnsi="Georgia" w:cstheme="minorBidi"/>
          <w:bCs/>
          <w:i/>
          <w:iCs/>
        </w:rPr>
        <w:t xml:space="preserve"> </w:t>
      </w:r>
      <w:proofErr w:type="spellStart"/>
      <w:r w:rsidR="00ED1F3E" w:rsidRPr="00751923">
        <w:rPr>
          <w:rStyle w:val="Collegamentoipertestuale"/>
          <w:rFonts w:ascii="Georgia" w:hAnsi="Georgia" w:cstheme="minorBidi"/>
          <w:bCs/>
          <w:i/>
          <w:iCs/>
        </w:rPr>
        <w:t>Ausbau</w:t>
      </w:r>
      <w:proofErr w:type="spellEnd"/>
      <w:r w:rsidR="00ED1F3E" w:rsidRPr="00751923">
        <w:rPr>
          <w:rStyle w:val="Collegamentoipertestuale"/>
          <w:rFonts w:ascii="Georgia" w:hAnsi="Georgia" w:cstheme="minorBidi"/>
          <w:bCs/>
          <w:i/>
          <w:iCs/>
        </w:rPr>
        <w:t xml:space="preserve"> </w:t>
      </w:r>
      <w:proofErr w:type="spellStart"/>
      <w:r w:rsidR="00ED1F3E" w:rsidRPr="00751923">
        <w:rPr>
          <w:rStyle w:val="Collegamentoipertestuale"/>
          <w:rFonts w:ascii="Georgia" w:hAnsi="Georgia" w:cstheme="minorBidi"/>
          <w:bCs/>
          <w:i/>
          <w:iCs/>
        </w:rPr>
        <w:t>der</w:t>
      </w:r>
      <w:proofErr w:type="spellEnd"/>
      <w:r w:rsidR="00ED1F3E" w:rsidRPr="00751923">
        <w:rPr>
          <w:rStyle w:val="Collegamentoipertestuale"/>
          <w:rFonts w:ascii="Georgia" w:hAnsi="Georgia" w:cstheme="minorBidi"/>
          <w:bCs/>
          <w:i/>
          <w:iCs/>
        </w:rPr>
        <w:t xml:space="preserve"> Kraft-</w:t>
      </w:r>
      <w:proofErr w:type="spellStart"/>
      <w:r w:rsidR="00ED1F3E" w:rsidRPr="00751923">
        <w:rPr>
          <w:rStyle w:val="Collegamentoipertestuale"/>
          <w:rFonts w:ascii="Georgia" w:hAnsi="Georgia" w:cstheme="minorBidi"/>
          <w:bCs/>
          <w:i/>
          <w:iCs/>
        </w:rPr>
        <w:t>Wärme</w:t>
      </w:r>
      <w:proofErr w:type="spellEnd"/>
      <w:r w:rsidR="00ED1F3E" w:rsidRPr="00751923">
        <w:rPr>
          <w:rStyle w:val="Collegamentoipertestuale"/>
          <w:rFonts w:ascii="Georgia" w:hAnsi="Georgia" w:cstheme="minorBidi"/>
          <w:bCs/>
          <w:i/>
          <w:iCs/>
        </w:rPr>
        <w:t>-</w:t>
      </w:r>
      <w:proofErr w:type="spellStart"/>
      <w:r w:rsidR="00ED1F3E" w:rsidRPr="00751923">
        <w:rPr>
          <w:rStyle w:val="Collegamentoipertestuale"/>
          <w:rFonts w:ascii="Georgia" w:hAnsi="Georgia" w:cstheme="minorBidi"/>
          <w:bCs/>
          <w:i/>
          <w:iCs/>
        </w:rPr>
        <w:t>Kopplung</w:t>
      </w:r>
      <w:proofErr w:type="spellEnd"/>
      <w:r w:rsidR="00ED1F3E" w:rsidRPr="00751923">
        <w:rPr>
          <w:rStyle w:val="Collegamentoipertestuale"/>
          <w:rFonts w:ascii="Georgia" w:hAnsi="Georgia" w:cstheme="minorBidi"/>
          <w:bCs/>
          <w:i/>
          <w:iCs/>
        </w:rPr>
        <w:t xml:space="preserve"> (Kraft-</w:t>
      </w:r>
      <w:proofErr w:type="spellStart"/>
      <w:r w:rsidR="00ED1F3E" w:rsidRPr="00751923">
        <w:rPr>
          <w:rStyle w:val="Collegamentoipertestuale"/>
          <w:rFonts w:ascii="Georgia" w:hAnsi="Georgia" w:cstheme="minorBidi"/>
          <w:bCs/>
          <w:i/>
          <w:iCs/>
        </w:rPr>
        <w:t>Wärme</w:t>
      </w:r>
      <w:proofErr w:type="spellEnd"/>
      <w:r w:rsidR="00ED1F3E" w:rsidRPr="00751923">
        <w:rPr>
          <w:rStyle w:val="Collegamentoipertestuale"/>
          <w:rFonts w:ascii="Georgia" w:hAnsi="Georgia" w:cstheme="minorBidi"/>
          <w:bCs/>
          <w:i/>
          <w:iCs/>
        </w:rPr>
        <w:t>-</w:t>
      </w:r>
      <w:proofErr w:type="spellStart"/>
      <w:r w:rsidR="00ED1F3E" w:rsidRPr="00751923">
        <w:rPr>
          <w:rStyle w:val="Collegamentoipertestuale"/>
          <w:rFonts w:ascii="Georgia" w:hAnsi="Georgia" w:cstheme="minorBidi"/>
          <w:bCs/>
          <w:i/>
          <w:iCs/>
        </w:rPr>
        <w:t>Kopplungsgesetz</w:t>
      </w:r>
      <w:proofErr w:type="spellEnd"/>
      <w:r w:rsidR="00ED1F3E" w:rsidRPr="00751923">
        <w:rPr>
          <w:rStyle w:val="Collegamentoipertestuale"/>
          <w:rFonts w:ascii="Georgia" w:hAnsi="Georgia" w:cstheme="minorBidi"/>
          <w:bCs/>
          <w:i/>
          <w:iCs/>
        </w:rPr>
        <w:t xml:space="preserve"> - KWKG</w:t>
      </w:r>
      <w:r w:rsidR="00751923">
        <w:rPr>
          <w:rFonts w:ascii="Georgia" w:hAnsi="Georgia" w:cstheme="minorBidi"/>
          <w:bCs/>
          <w:iCs/>
        </w:rPr>
        <w:fldChar w:fldCharType="end"/>
      </w:r>
      <w:r w:rsidR="00ED1F3E" w:rsidRPr="008410DA">
        <w:rPr>
          <w:rFonts w:ascii="Georgia" w:hAnsi="Georgia"/>
          <w:bCs/>
          <w:iCs/>
        </w:rPr>
        <w:t>)</w:t>
      </w:r>
      <w:r>
        <w:rPr>
          <w:rFonts w:ascii="Georgia" w:hAnsi="Georgia"/>
          <w:bCs/>
          <w:iCs/>
        </w:rPr>
        <w:t>,</w:t>
      </w:r>
      <w:r w:rsidR="00ED1F3E" w:rsidRPr="008410DA">
        <w:rPr>
          <w:rFonts w:ascii="Georgia" w:hAnsi="Georgia"/>
          <w:bCs/>
          <w:iCs/>
        </w:rPr>
        <w:t xml:space="preserve"> del 21 dicembre 2015, in vigore </w:t>
      </w:r>
      <w:r>
        <w:rPr>
          <w:rFonts w:ascii="Georgia" w:hAnsi="Georgia"/>
          <w:bCs/>
          <w:iCs/>
        </w:rPr>
        <w:t>da</w:t>
      </w:r>
      <w:r w:rsidR="00ED1F3E" w:rsidRPr="008410DA">
        <w:rPr>
          <w:rFonts w:ascii="Georgia" w:hAnsi="Georgia"/>
          <w:bCs/>
          <w:iCs/>
        </w:rPr>
        <w:t xml:space="preserve">l 1° gennaio 2016. In tal modo, si </w:t>
      </w:r>
      <w:r>
        <w:rPr>
          <w:rFonts w:ascii="Georgia" w:hAnsi="Georgia"/>
          <w:bCs/>
          <w:iCs/>
        </w:rPr>
        <w:t xml:space="preserve">è </w:t>
      </w:r>
      <w:r w:rsidR="00ED1F3E" w:rsidRPr="008410DA">
        <w:rPr>
          <w:rFonts w:ascii="Georgia" w:hAnsi="Georgia"/>
          <w:bCs/>
          <w:iCs/>
        </w:rPr>
        <w:t>persegu</w:t>
      </w:r>
      <w:r>
        <w:rPr>
          <w:rFonts w:ascii="Georgia" w:hAnsi="Georgia"/>
          <w:bCs/>
          <w:iCs/>
        </w:rPr>
        <w:t>ito</w:t>
      </w:r>
      <w:r w:rsidR="00ED1F3E" w:rsidRPr="008410DA">
        <w:rPr>
          <w:rFonts w:ascii="Georgia" w:hAnsi="Georgia"/>
          <w:bCs/>
          <w:iCs/>
        </w:rPr>
        <w:t xml:space="preserve"> l'obiettivo di aumentare la quota di cogenerazione nella produzione di energia elettrica. Con la nuova legge, la produzione combinata di calore ed elettricità è incentivata attraverso l’ammodernamento e la costruzione di impianti altamente efficienti. Inoltre, è promossa la costruzione e l'espansione delle reti di riscaldamento e dei sistemi di </w:t>
      </w:r>
      <w:proofErr w:type="spellStart"/>
      <w:r w:rsidR="00ED1F3E" w:rsidRPr="008410DA">
        <w:rPr>
          <w:rFonts w:ascii="Georgia" w:hAnsi="Georgia"/>
          <w:bCs/>
          <w:i/>
          <w:iCs/>
        </w:rPr>
        <w:t>storage</w:t>
      </w:r>
      <w:proofErr w:type="spellEnd"/>
      <w:r w:rsidR="00ED1F3E" w:rsidRPr="008410DA">
        <w:rPr>
          <w:rFonts w:ascii="Georgia" w:hAnsi="Georgia"/>
          <w:bCs/>
          <w:iCs/>
        </w:rPr>
        <w:t xml:space="preserve">. </w:t>
      </w:r>
    </w:p>
    <w:p w:rsidR="00207AEE" w:rsidRPr="008410DA" w:rsidRDefault="00207AEE" w:rsidP="00207AEE">
      <w:pPr>
        <w:spacing w:after="120"/>
        <w:ind w:firstLine="357"/>
        <w:jc w:val="both"/>
        <w:rPr>
          <w:rFonts w:ascii="Georgia" w:eastAsiaTheme="minorHAnsi" w:hAnsi="Georgia" w:cstheme="minorBidi"/>
          <w:lang w:eastAsia="en-US"/>
        </w:rPr>
      </w:pPr>
      <w:r w:rsidRPr="008410DA">
        <w:rPr>
          <w:rFonts w:ascii="Georgia" w:eastAsiaTheme="minorHAnsi" w:hAnsi="Georgia" w:cstheme="minorBidi"/>
          <w:lang w:eastAsia="en-US"/>
        </w:rPr>
        <w:t>Una menzione particolare meritano gli incentivi all’</w:t>
      </w:r>
      <w:r w:rsidRPr="00774DCE">
        <w:rPr>
          <w:rFonts w:ascii="Georgia" w:eastAsiaTheme="minorHAnsi" w:hAnsi="Georgia" w:cstheme="minorBidi"/>
          <w:b/>
          <w:lang w:eastAsia="en-US"/>
        </w:rPr>
        <w:t>elettromobilità</w:t>
      </w:r>
      <w:r w:rsidRPr="008410DA">
        <w:rPr>
          <w:rFonts w:ascii="Georgia" w:eastAsiaTheme="minorHAnsi" w:hAnsi="Georgia" w:cstheme="minorBidi"/>
          <w:lang w:eastAsia="en-US"/>
        </w:rPr>
        <w:t xml:space="preserve"> inizialmente previsti dal </w:t>
      </w:r>
      <w:r w:rsidRPr="008410DA">
        <w:rPr>
          <w:rFonts w:ascii="Georgia" w:eastAsiaTheme="minorHAnsi" w:hAnsi="Georgia" w:cstheme="minorBidi"/>
          <w:b/>
          <w:lang w:eastAsia="en-US"/>
        </w:rPr>
        <w:t>Piano integrato energia e clima</w:t>
      </w:r>
      <w:r w:rsidRPr="008410DA">
        <w:rPr>
          <w:rFonts w:ascii="Georgia" w:eastAsiaTheme="minorHAnsi" w:hAnsi="Georgia" w:cstheme="minorBidi"/>
          <w:lang w:eastAsia="en-US"/>
        </w:rPr>
        <w:t xml:space="preserve"> (</w:t>
      </w:r>
      <w:hyperlink r:id="rId19" w:history="1">
        <w:r w:rsidRPr="008410DA">
          <w:rPr>
            <w:rStyle w:val="Collegamentoipertestuale"/>
            <w:rFonts w:ascii="Georgia" w:eastAsiaTheme="minorHAnsi" w:hAnsi="Georgia" w:cstheme="minorBidi"/>
            <w:i/>
            <w:lang w:eastAsia="en-US"/>
          </w:rPr>
          <w:t xml:space="preserve">Energie- und </w:t>
        </w:r>
        <w:proofErr w:type="spellStart"/>
        <w:r w:rsidRPr="008410DA">
          <w:rPr>
            <w:rStyle w:val="Collegamentoipertestuale"/>
            <w:rFonts w:ascii="Georgia" w:eastAsiaTheme="minorHAnsi" w:hAnsi="Georgia" w:cstheme="minorBidi"/>
            <w:i/>
            <w:lang w:eastAsia="en-US"/>
          </w:rPr>
          <w:t>Klimaprogramm</w:t>
        </w:r>
        <w:proofErr w:type="spellEnd"/>
      </w:hyperlink>
      <w:r w:rsidRPr="008410DA">
        <w:rPr>
          <w:rFonts w:ascii="Georgia" w:eastAsiaTheme="minorHAnsi" w:hAnsi="Georgia" w:cstheme="minorBidi"/>
          <w:lang w:eastAsia="en-US"/>
        </w:rPr>
        <w:t xml:space="preserve"> - IEKP) approvato dal Governo federale il 23 agosto 2007. Il pacchetto di misure comprendeva 29 punti, tra cui appunto l’elettromobilità.</w:t>
      </w:r>
      <w:r w:rsidR="00774DCE">
        <w:rPr>
          <w:rFonts w:ascii="Georgia" w:eastAsiaTheme="minorHAnsi" w:hAnsi="Georgia" w:cstheme="minorBidi"/>
          <w:lang w:eastAsia="en-US"/>
        </w:rPr>
        <w:t xml:space="preserve"> </w:t>
      </w:r>
      <w:r w:rsidRPr="008410DA">
        <w:rPr>
          <w:rFonts w:ascii="Georgia" w:eastAsiaTheme="minorHAnsi" w:hAnsi="Georgia" w:cstheme="minorBidi"/>
          <w:lang w:eastAsia="en-US"/>
        </w:rPr>
        <w:t xml:space="preserve">Successivamente, il 19 agosto 2009 </w:t>
      </w:r>
      <w:r w:rsidR="00774DCE">
        <w:rPr>
          <w:rFonts w:ascii="Georgia" w:eastAsiaTheme="minorHAnsi" w:hAnsi="Georgia" w:cstheme="minorBidi"/>
          <w:lang w:eastAsia="en-US"/>
        </w:rPr>
        <w:t>i</w:t>
      </w:r>
      <w:r w:rsidRPr="008410DA">
        <w:rPr>
          <w:rFonts w:ascii="Georgia" w:eastAsiaTheme="minorHAnsi" w:hAnsi="Georgia" w:cstheme="minorBidi"/>
          <w:lang w:eastAsia="en-US"/>
        </w:rPr>
        <w:t xml:space="preserve">l Governo federale ha approvato il </w:t>
      </w:r>
      <w:r w:rsidRPr="008410DA">
        <w:rPr>
          <w:rFonts w:ascii="Georgia" w:eastAsiaTheme="minorHAnsi" w:hAnsi="Georgia" w:cstheme="minorBidi"/>
          <w:b/>
          <w:lang w:eastAsia="en-US"/>
        </w:rPr>
        <w:t>Piano nazionale per lo sviluppo della mobilità elettrica</w:t>
      </w:r>
      <w:r w:rsidRPr="008410DA">
        <w:rPr>
          <w:rFonts w:ascii="Georgia" w:eastAsiaTheme="minorHAnsi" w:hAnsi="Georgia" w:cstheme="minorBidi"/>
          <w:lang w:eastAsia="en-US"/>
        </w:rPr>
        <w:t xml:space="preserve"> (</w:t>
      </w:r>
      <w:proofErr w:type="spellStart"/>
      <w:r w:rsidR="005E2B73" w:rsidRPr="008410DA">
        <w:rPr>
          <w:rFonts w:ascii="Georgia" w:hAnsi="Georgia"/>
        </w:rPr>
        <w:fldChar w:fldCharType="begin"/>
      </w:r>
      <w:r w:rsidR="005E2B73" w:rsidRPr="008410DA">
        <w:rPr>
          <w:rFonts w:ascii="Georgia" w:hAnsi="Georgia"/>
        </w:rPr>
        <w:instrText xml:space="preserve"> HYPERLINK "https://www.bmbf.de/files/nationaler_entwicklungsplan_elektromobilitaet.pdf" </w:instrText>
      </w:r>
      <w:r w:rsidR="005E2B73" w:rsidRPr="008410DA">
        <w:rPr>
          <w:rFonts w:ascii="Georgia" w:hAnsi="Georgia"/>
        </w:rPr>
        <w:fldChar w:fldCharType="separate"/>
      </w:r>
      <w:r w:rsidRPr="008410DA">
        <w:rPr>
          <w:rFonts w:ascii="Georgia" w:eastAsiaTheme="minorHAnsi" w:hAnsi="Georgia" w:cstheme="minorBidi"/>
          <w:i/>
          <w:color w:val="0000FF" w:themeColor="hyperlink"/>
          <w:u w:val="single"/>
          <w:lang w:eastAsia="en-US"/>
        </w:rPr>
        <w:t>Nati</w:t>
      </w:r>
      <w:r w:rsidRPr="008410DA">
        <w:rPr>
          <w:rFonts w:ascii="Georgia" w:eastAsiaTheme="minorHAnsi" w:hAnsi="Georgia" w:cstheme="minorBidi"/>
          <w:i/>
          <w:iCs/>
          <w:color w:val="0000FF" w:themeColor="hyperlink"/>
          <w:u w:val="single"/>
          <w:lang w:eastAsia="en-US"/>
        </w:rPr>
        <w:t>onalen</w:t>
      </w:r>
      <w:proofErr w:type="spellEnd"/>
      <w:r w:rsidRPr="008410DA">
        <w:rPr>
          <w:rFonts w:ascii="Georgia" w:eastAsiaTheme="minorHAnsi" w:hAnsi="Georgia" w:cstheme="minorBidi"/>
          <w:i/>
          <w:iCs/>
          <w:color w:val="0000FF" w:themeColor="hyperlink"/>
          <w:u w:val="single"/>
          <w:lang w:eastAsia="en-US"/>
        </w:rPr>
        <w:t xml:space="preserve"> </w:t>
      </w:r>
      <w:proofErr w:type="spellStart"/>
      <w:r w:rsidRPr="008410DA">
        <w:rPr>
          <w:rFonts w:ascii="Georgia" w:eastAsiaTheme="minorHAnsi" w:hAnsi="Georgia" w:cstheme="minorBidi"/>
          <w:i/>
          <w:iCs/>
          <w:color w:val="0000FF" w:themeColor="hyperlink"/>
          <w:u w:val="single"/>
          <w:lang w:eastAsia="en-US"/>
        </w:rPr>
        <w:t>Entwicklungsplan</w:t>
      </w:r>
      <w:proofErr w:type="spellEnd"/>
      <w:r w:rsidRPr="008410DA">
        <w:rPr>
          <w:rFonts w:ascii="Georgia" w:eastAsiaTheme="minorHAnsi" w:hAnsi="Georgia" w:cstheme="minorBidi"/>
          <w:i/>
          <w:iCs/>
          <w:color w:val="0000FF" w:themeColor="hyperlink"/>
          <w:u w:val="single"/>
          <w:lang w:eastAsia="en-US"/>
        </w:rPr>
        <w:t xml:space="preserve"> </w:t>
      </w:r>
      <w:proofErr w:type="spellStart"/>
      <w:r w:rsidRPr="008410DA">
        <w:rPr>
          <w:rFonts w:ascii="Georgia" w:eastAsiaTheme="minorHAnsi" w:hAnsi="Georgia" w:cstheme="minorBidi"/>
          <w:i/>
          <w:iCs/>
          <w:color w:val="0000FF" w:themeColor="hyperlink"/>
          <w:u w:val="single"/>
          <w:lang w:eastAsia="en-US"/>
        </w:rPr>
        <w:t>Elektromobilität</w:t>
      </w:r>
      <w:proofErr w:type="spellEnd"/>
      <w:r w:rsidR="005E2B73" w:rsidRPr="008410DA">
        <w:rPr>
          <w:rFonts w:ascii="Georgia" w:eastAsiaTheme="minorHAnsi" w:hAnsi="Georgia" w:cstheme="minorBidi"/>
          <w:i/>
          <w:iCs/>
          <w:color w:val="0000FF" w:themeColor="hyperlink"/>
          <w:u w:val="single"/>
          <w:lang w:eastAsia="en-US"/>
        </w:rPr>
        <w:fldChar w:fldCharType="end"/>
      </w:r>
      <w:r w:rsidRPr="008410DA">
        <w:rPr>
          <w:rFonts w:ascii="Georgia" w:eastAsiaTheme="minorHAnsi" w:hAnsi="Georgia" w:cstheme="minorBidi"/>
          <w:lang w:eastAsia="en-US"/>
        </w:rPr>
        <w:t>)</w:t>
      </w:r>
      <w:r w:rsidRPr="008410DA">
        <w:rPr>
          <w:rFonts w:ascii="Georgia" w:eastAsiaTheme="minorHAnsi" w:hAnsi="Georgia" w:cstheme="minorBidi"/>
          <w:vertAlign w:val="superscript"/>
          <w:lang w:eastAsia="en-US"/>
        </w:rPr>
        <w:footnoteReference w:id="5"/>
      </w:r>
      <w:r w:rsidRPr="008410DA">
        <w:rPr>
          <w:rFonts w:ascii="Georgia" w:eastAsiaTheme="minorHAnsi" w:hAnsi="Georgia" w:cstheme="minorBidi"/>
          <w:lang w:eastAsia="en-US"/>
        </w:rPr>
        <w:t xml:space="preserve"> </w:t>
      </w:r>
      <w:r w:rsidR="001375F4">
        <w:rPr>
          <w:rFonts w:ascii="Georgia" w:eastAsiaTheme="minorHAnsi" w:hAnsi="Georgia" w:cstheme="minorBidi"/>
          <w:lang w:eastAsia="en-US"/>
        </w:rPr>
        <w:t xml:space="preserve">con </w:t>
      </w:r>
      <w:r w:rsidR="00F53092">
        <w:rPr>
          <w:rFonts w:ascii="Georgia" w:eastAsiaTheme="minorHAnsi" w:hAnsi="Georgia" w:cstheme="minorBidi"/>
          <w:lang w:eastAsia="en-US"/>
        </w:rPr>
        <w:t>gl</w:t>
      </w:r>
      <w:r w:rsidRPr="008410DA">
        <w:rPr>
          <w:rFonts w:ascii="Georgia" w:eastAsiaTheme="minorHAnsi" w:hAnsi="Georgia" w:cstheme="minorBidi"/>
          <w:lang w:eastAsia="en-US"/>
        </w:rPr>
        <w:t>i obiettivi</w:t>
      </w:r>
      <w:r w:rsidR="00F53092">
        <w:rPr>
          <w:rFonts w:ascii="Georgia" w:eastAsiaTheme="minorHAnsi" w:hAnsi="Georgia" w:cstheme="minorBidi"/>
          <w:lang w:eastAsia="en-US"/>
        </w:rPr>
        <w:t xml:space="preserve"> di</w:t>
      </w:r>
      <w:r w:rsidR="001375F4">
        <w:rPr>
          <w:rFonts w:ascii="Georgia" w:eastAsiaTheme="minorHAnsi" w:hAnsi="Georgia" w:cstheme="minorBidi"/>
          <w:lang w:eastAsia="en-US"/>
        </w:rPr>
        <w:t xml:space="preserve"> </w:t>
      </w:r>
      <w:r w:rsidRPr="008410DA">
        <w:rPr>
          <w:rFonts w:ascii="Georgia" w:eastAsiaTheme="minorHAnsi" w:hAnsi="Georgia" w:cstheme="minorBidi"/>
          <w:lang w:eastAsia="en-US"/>
        </w:rPr>
        <w:t>prom</w:t>
      </w:r>
      <w:r w:rsidR="00F53092">
        <w:rPr>
          <w:rFonts w:ascii="Georgia" w:eastAsiaTheme="minorHAnsi" w:hAnsi="Georgia" w:cstheme="minorBidi"/>
          <w:lang w:eastAsia="en-US"/>
        </w:rPr>
        <w:t>uovere</w:t>
      </w:r>
      <w:r w:rsidRPr="008410DA">
        <w:rPr>
          <w:rFonts w:ascii="Georgia" w:eastAsiaTheme="minorHAnsi" w:hAnsi="Georgia" w:cstheme="minorBidi"/>
          <w:lang w:eastAsia="en-US"/>
        </w:rPr>
        <w:t xml:space="preserve"> la ricerca, lo sviluppo e l’immissione sul mercato dei veicoli elettrici a batteria</w:t>
      </w:r>
      <w:r w:rsidR="00F53092">
        <w:rPr>
          <w:rFonts w:ascii="Georgia" w:eastAsiaTheme="minorHAnsi" w:hAnsi="Georgia" w:cstheme="minorBidi"/>
          <w:lang w:eastAsia="en-US"/>
        </w:rPr>
        <w:t>, e di</w:t>
      </w:r>
      <w:r w:rsidR="001375F4">
        <w:rPr>
          <w:rFonts w:ascii="Georgia" w:eastAsiaTheme="minorHAnsi" w:hAnsi="Georgia" w:cstheme="minorBidi"/>
          <w:lang w:eastAsia="en-US"/>
        </w:rPr>
        <w:t xml:space="preserve"> </w:t>
      </w:r>
      <w:r w:rsidRPr="008410DA">
        <w:rPr>
          <w:rFonts w:ascii="Georgia" w:eastAsiaTheme="minorHAnsi" w:hAnsi="Georgia" w:cstheme="minorBidi"/>
          <w:lang w:eastAsia="en-US"/>
        </w:rPr>
        <w:t>coniuga</w:t>
      </w:r>
      <w:r w:rsidR="00F53092">
        <w:rPr>
          <w:rFonts w:ascii="Georgia" w:eastAsiaTheme="minorHAnsi" w:hAnsi="Georgia" w:cstheme="minorBidi"/>
          <w:lang w:eastAsia="en-US"/>
        </w:rPr>
        <w:t>re</w:t>
      </w:r>
      <w:r w:rsidR="001375F4">
        <w:rPr>
          <w:rFonts w:ascii="Georgia" w:eastAsiaTheme="minorHAnsi" w:hAnsi="Georgia" w:cstheme="minorBidi"/>
          <w:lang w:eastAsia="en-US"/>
        </w:rPr>
        <w:t xml:space="preserve"> l</w:t>
      </w:r>
      <w:r w:rsidRPr="008410DA">
        <w:rPr>
          <w:rFonts w:ascii="Georgia" w:eastAsiaTheme="minorHAnsi" w:hAnsi="Georgia" w:cstheme="minorBidi"/>
          <w:lang w:eastAsia="en-US"/>
        </w:rPr>
        <w:t>a tutela ambientale con la politica industriale</w:t>
      </w:r>
      <w:r w:rsidR="00F53092">
        <w:rPr>
          <w:rFonts w:ascii="Georgia" w:eastAsiaTheme="minorHAnsi" w:hAnsi="Georgia" w:cstheme="minorBidi"/>
          <w:lang w:eastAsia="en-US"/>
        </w:rPr>
        <w:t>,</w:t>
      </w:r>
      <w:r w:rsidRPr="008410DA">
        <w:rPr>
          <w:rFonts w:ascii="Georgia" w:eastAsiaTheme="minorHAnsi" w:hAnsi="Georgia" w:cstheme="minorBidi"/>
          <w:lang w:eastAsia="en-US"/>
        </w:rPr>
        <w:t xml:space="preserve"> rende</w:t>
      </w:r>
      <w:r w:rsidR="00F53092">
        <w:rPr>
          <w:rFonts w:ascii="Georgia" w:eastAsiaTheme="minorHAnsi" w:hAnsi="Georgia" w:cstheme="minorBidi"/>
          <w:lang w:eastAsia="en-US"/>
        </w:rPr>
        <w:t>ndo in tal modo</w:t>
      </w:r>
      <w:r w:rsidRPr="008410DA">
        <w:rPr>
          <w:rFonts w:ascii="Georgia" w:eastAsiaTheme="minorHAnsi" w:hAnsi="Georgia" w:cstheme="minorBidi"/>
          <w:lang w:eastAsia="en-US"/>
        </w:rPr>
        <w:t xml:space="preserve"> la Germania il mercato </w:t>
      </w:r>
      <w:r w:rsidRPr="008410DA">
        <w:rPr>
          <w:rFonts w:ascii="Georgia" w:eastAsiaTheme="minorHAnsi" w:hAnsi="Georgia" w:cstheme="minorBidi"/>
          <w:i/>
          <w:lang w:eastAsia="en-US"/>
        </w:rPr>
        <w:t>leader</w:t>
      </w:r>
      <w:r w:rsidRPr="008410DA">
        <w:rPr>
          <w:rFonts w:ascii="Georgia" w:eastAsiaTheme="minorHAnsi" w:hAnsi="Georgia" w:cstheme="minorBidi"/>
          <w:lang w:eastAsia="en-US"/>
        </w:rPr>
        <w:t xml:space="preserve"> nel</w:t>
      </w:r>
      <w:r w:rsidR="00FE63BB">
        <w:rPr>
          <w:rFonts w:ascii="Georgia" w:eastAsiaTheme="minorHAnsi" w:hAnsi="Georgia" w:cstheme="minorBidi"/>
          <w:lang w:eastAsia="en-US"/>
        </w:rPr>
        <w:t xml:space="preserve">la </w:t>
      </w:r>
      <w:r w:rsidRPr="008410DA">
        <w:rPr>
          <w:rFonts w:ascii="Georgia" w:eastAsiaTheme="minorHAnsi" w:hAnsi="Georgia" w:cstheme="minorBidi"/>
          <w:lang w:eastAsia="en-US"/>
        </w:rPr>
        <w:t>elettromobilità e porta</w:t>
      </w:r>
      <w:r w:rsidR="00F53092">
        <w:rPr>
          <w:rFonts w:ascii="Georgia" w:eastAsiaTheme="minorHAnsi" w:hAnsi="Georgia" w:cstheme="minorBidi"/>
          <w:lang w:eastAsia="en-US"/>
        </w:rPr>
        <w:t>ndo</w:t>
      </w:r>
      <w:r w:rsidRPr="008410DA">
        <w:rPr>
          <w:rFonts w:ascii="Georgia" w:eastAsiaTheme="minorHAnsi" w:hAnsi="Georgia" w:cstheme="minorBidi"/>
          <w:lang w:eastAsia="en-US"/>
        </w:rPr>
        <w:t xml:space="preserve"> sulle strade entro il 2020 un milione di veicoli elettrici.</w:t>
      </w:r>
    </w:p>
    <w:p w:rsidR="00207AEE" w:rsidRPr="008410DA" w:rsidRDefault="00207AEE" w:rsidP="00207AEE">
      <w:pPr>
        <w:spacing w:after="120"/>
        <w:ind w:firstLine="357"/>
        <w:jc w:val="both"/>
        <w:rPr>
          <w:rFonts w:ascii="Georgia" w:eastAsiaTheme="minorHAnsi" w:hAnsi="Georgia" w:cstheme="minorBidi"/>
          <w:bCs/>
          <w:iCs/>
          <w:lang w:eastAsia="en-US"/>
        </w:rPr>
      </w:pPr>
      <w:r w:rsidRPr="008410DA">
        <w:rPr>
          <w:rFonts w:ascii="Georgia" w:eastAsiaTheme="minorHAnsi" w:hAnsi="Georgia" w:cstheme="minorBidi"/>
          <w:lang w:eastAsia="en-US"/>
        </w:rPr>
        <w:t>Con il Piano nazionale per lo sviluppo della mobilità elettrica, il Governo federale ha posto le basi per l’attuazione della politica “</w:t>
      </w:r>
      <w:r w:rsidRPr="00F53092">
        <w:rPr>
          <w:rFonts w:ascii="Georgia" w:eastAsiaTheme="minorHAnsi" w:hAnsi="Georgia" w:cstheme="minorBidi"/>
          <w:b/>
          <w:lang w:eastAsia="en-US"/>
        </w:rPr>
        <w:t>Via dal petrolio</w:t>
      </w:r>
      <w:r w:rsidRPr="008410DA">
        <w:rPr>
          <w:rFonts w:ascii="Georgia" w:eastAsiaTheme="minorHAnsi" w:hAnsi="Georgia" w:cstheme="minorBidi"/>
          <w:lang w:eastAsia="en-US"/>
        </w:rPr>
        <w:t>” ("</w:t>
      </w:r>
      <w:proofErr w:type="spellStart"/>
      <w:r w:rsidRPr="008410DA">
        <w:rPr>
          <w:rFonts w:ascii="Georgia" w:eastAsiaTheme="minorHAnsi" w:hAnsi="Georgia" w:cstheme="minorBidi"/>
          <w:i/>
          <w:lang w:eastAsia="en-US"/>
        </w:rPr>
        <w:t>Weg</w:t>
      </w:r>
      <w:proofErr w:type="spellEnd"/>
      <w:r w:rsidRPr="008410DA">
        <w:rPr>
          <w:rFonts w:ascii="Georgia" w:eastAsiaTheme="minorHAnsi" w:hAnsi="Georgia" w:cstheme="minorBidi"/>
          <w:i/>
          <w:lang w:eastAsia="en-US"/>
        </w:rPr>
        <w:t xml:space="preserve"> </w:t>
      </w:r>
      <w:proofErr w:type="spellStart"/>
      <w:r w:rsidRPr="008410DA">
        <w:rPr>
          <w:rFonts w:ascii="Georgia" w:eastAsiaTheme="minorHAnsi" w:hAnsi="Georgia" w:cstheme="minorBidi"/>
          <w:i/>
          <w:lang w:eastAsia="en-US"/>
        </w:rPr>
        <w:t>vom</w:t>
      </w:r>
      <w:proofErr w:type="spellEnd"/>
      <w:r w:rsidRPr="008410DA">
        <w:rPr>
          <w:rFonts w:ascii="Georgia" w:eastAsiaTheme="minorHAnsi" w:hAnsi="Georgia" w:cstheme="minorBidi"/>
          <w:i/>
          <w:lang w:eastAsia="en-US"/>
        </w:rPr>
        <w:t xml:space="preserve"> </w:t>
      </w:r>
      <w:proofErr w:type="spellStart"/>
      <w:r w:rsidRPr="008410DA">
        <w:rPr>
          <w:rFonts w:ascii="Georgia" w:eastAsiaTheme="minorHAnsi" w:hAnsi="Georgia" w:cstheme="minorBidi"/>
          <w:i/>
          <w:lang w:eastAsia="en-US"/>
        </w:rPr>
        <w:t>Öl</w:t>
      </w:r>
      <w:proofErr w:type="spellEnd"/>
      <w:r w:rsidRPr="008410DA">
        <w:rPr>
          <w:rFonts w:ascii="Georgia" w:eastAsiaTheme="minorHAnsi" w:hAnsi="Georgia" w:cstheme="minorBidi"/>
          <w:lang w:eastAsia="en-US"/>
        </w:rPr>
        <w:t>")</w:t>
      </w:r>
      <w:r w:rsidR="00F53092">
        <w:rPr>
          <w:rFonts w:ascii="Georgia" w:eastAsiaTheme="minorHAnsi" w:hAnsi="Georgia" w:cstheme="minorBidi"/>
          <w:lang w:eastAsia="en-US"/>
        </w:rPr>
        <w:t xml:space="preserve">, assicurando al tempo stesso un importante </w:t>
      </w:r>
      <w:r w:rsidRPr="008410DA">
        <w:rPr>
          <w:rFonts w:ascii="Georgia" w:eastAsiaTheme="minorHAnsi" w:hAnsi="Georgia" w:cstheme="minorBidi"/>
          <w:lang w:eastAsia="en-US"/>
        </w:rPr>
        <w:t>contributo alla tutela ambientale.</w:t>
      </w:r>
    </w:p>
    <w:p w:rsidR="00207AEE" w:rsidRPr="008410DA" w:rsidRDefault="00F53092" w:rsidP="00207AEE">
      <w:pPr>
        <w:spacing w:after="120"/>
        <w:ind w:firstLine="357"/>
        <w:jc w:val="both"/>
        <w:rPr>
          <w:rFonts w:ascii="Georgia" w:eastAsiaTheme="minorHAnsi" w:hAnsi="Georgia" w:cstheme="minorBidi"/>
          <w:bCs/>
          <w:iCs/>
          <w:lang w:eastAsia="en-US"/>
        </w:rPr>
      </w:pPr>
      <w:r>
        <w:rPr>
          <w:rFonts w:ascii="Georgia" w:eastAsiaTheme="minorHAnsi" w:hAnsi="Georgia" w:cstheme="minorBidi"/>
          <w:lang w:eastAsia="en-US"/>
        </w:rPr>
        <w:t>Secondo i</w:t>
      </w:r>
      <w:r w:rsidR="00207AEE" w:rsidRPr="008410DA">
        <w:rPr>
          <w:rFonts w:ascii="Georgia" w:eastAsiaTheme="minorHAnsi" w:hAnsi="Georgia" w:cstheme="minorBidi"/>
          <w:lang w:eastAsia="en-US"/>
        </w:rPr>
        <w:t xml:space="preserve">l Piano nazionale, lo sviluppo del mercato dell’elettromobilità </w:t>
      </w:r>
      <w:r>
        <w:rPr>
          <w:rFonts w:ascii="Georgia" w:eastAsiaTheme="minorHAnsi" w:hAnsi="Georgia" w:cstheme="minorBidi"/>
          <w:lang w:eastAsia="en-US"/>
        </w:rPr>
        <w:t>prevede</w:t>
      </w:r>
      <w:r w:rsidR="00207AEE" w:rsidRPr="008410DA">
        <w:rPr>
          <w:rFonts w:ascii="Georgia" w:eastAsiaTheme="minorHAnsi" w:hAnsi="Georgia" w:cstheme="minorBidi"/>
          <w:lang w:eastAsia="en-US"/>
        </w:rPr>
        <w:t xml:space="preserve"> tre fasi: </w:t>
      </w:r>
    </w:p>
    <w:p w:rsidR="00207AEE" w:rsidRPr="008410DA" w:rsidRDefault="00F53092" w:rsidP="00F53092">
      <w:pPr>
        <w:numPr>
          <w:ilvl w:val="0"/>
          <w:numId w:val="24"/>
        </w:numPr>
        <w:spacing w:after="60"/>
        <w:ind w:left="714" w:hanging="357"/>
        <w:jc w:val="both"/>
        <w:rPr>
          <w:rFonts w:ascii="Georgia" w:eastAsiaTheme="minorHAnsi" w:hAnsi="Georgia" w:cstheme="minorBidi"/>
          <w:lang w:eastAsia="en-US"/>
        </w:rPr>
      </w:pPr>
      <w:r>
        <w:rPr>
          <w:rFonts w:ascii="Georgia" w:eastAsiaTheme="minorHAnsi" w:hAnsi="Georgia" w:cstheme="minorBidi"/>
          <w:lang w:eastAsia="en-US"/>
        </w:rPr>
        <w:t>f</w:t>
      </w:r>
      <w:r w:rsidR="00207AEE" w:rsidRPr="008410DA">
        <w:rPr>
          <w:rFonts w:ascii="Georgia" w:eastAsiaTheme="minorHAnsi" w:hAnsi="Georgia" w:cstheme="minorBidi"/>
          <w:lang w:eastAsia="en-US"/>
        </w:rPr>
        <w:t>ase di prepar</w:t>
      </w:r>
      <w:r>
        <w:rPr>
          <w:rFonts w:ascii="Georgia" w:eastAsiaTheme="minorHAnsi" w:hAnsi="Georgia" w:cstheme="minorBidi"/>
          <w:lang w:eastAsia="en-US"/>
        </w:rPr>
        <w:t>azione del mercato fino al 2011;</w:t>
      </w:r>
    </w:p>
    <w:p w:rsidR="00207AEE" w:rsidRPr="008410DA" w:rsidRDefault="00F53092" w:rsidP="00F53092">
      <w:pPr>
        <w:numPr>
          <w:ilvl w:val="0"/>
          <w:numId w:val="24"/>
        </w:numPr>
        <w:spacing w:after="60"/>
        <w:ind w:left="714" w:hanging="357"/>
        <w:jc w:val="both"/>
        <w:rPr>
          <w:rFonts w:ascii="Georgia" w:eastAsiaTheme="minorHAnsi" w:hAnsi="Georgia" w:cstheme="minorBidi"/>
          <w:lang w:eastAsia="en-US"/>
        </w:rPr>
      </w:pPr>
      <w:r>
        <w:rPr>
          <w:rFonts w:ascii="Georgia" w:eastAsiaTheme="minorHAnsi" w:hAnsi="Georgia" w:cstheme="minorBidi"/>
          <w:lang w:eastAsia="en-US"/>
        </w:rPr>
        <w:t>f</w:t>
      </w:r>
      <w:r w:rsidR="00207AEE" w:rsidRPr="008410DA">
        <w:rPr>
          <w:rFonts w:ascii="Georgia" w:eastAsiaTheme="minorHAnsi" w:hAnsi="Georgia" w:cstheme="minorBidi"/>
          <w:lang w:eastAsia="en-US"/>
        </w:rPr>
        <w:t>ase di lancio (fino al 2016)</w:t>
      </w:r>
      <w:r>
        <w:rPr>
          <w:rFonts w:ascii="Georgia" w:eastAsiaTheme="minorHAnsi" w:hAnsi="Georgia" w:cstheme="minorBidi"/>
          <w:lang w:eastAsia="en-US"/>
        </w:rPr>
        <w:t>;</w:t>
      </w:r>
    </w:p>
    <w:p w:rsidR="00207AEE" w:rsidRPr="008410DA" w:rsidRDefault="00F53092" w:rsidP="00F53092">
      <w:pPr>
        <w:numPr>
          <w:ilvl w:val="0"/>
          <w:numId w:val="24"/>
        </w:numPr>
        <w:spacing w:after="120"/>
        <w:jc w:val="both"/>
        <w:rPr>
          <w:rFonts w:ascii="Georgia" w:eastAsiaTheme="minorHAnsi" w:hAnsi="Georgia" w:cstheme="minorBidi"/>
          <w:lang w:eastAsia="en-US"/>
        </w:rPr>
      </w:pPr>
      <w:r>
        <w:rPr>
          <w:rFonts w:ascii="Georgia" w:eastAsiaTheme="minorHAnsi" w:hAnsi="Georgia" w:cstheme="minorBidi"/>
          <w:lang w:eastAsia="en-US"/>
        </w:rPr>
        <w:t>f</w:t>
      </w:r>
      <w:r w:rsidR="00207AEE" w:rsidRPr="008410DA">
        <w:rPr>
          <w:rFonts w:ascii="Georgia" w:eastAsiaTheme="minorHAnsi" w:hAnsi="Georgia" w:cstheme="minorBidi"/>
          <w:lang w:eastAsia="en-US"/>
        </w:rPr>
        <w:t>ase di esp</w:t>
      </w:r>
      <w:r>
        <w:rPr>
          <w:rFonts w:ascii="Georgia" w:eastAsiaTheme="minorHAnsi" w:hAnsi="Georgia" w:cstheme="minorBidi"/>
          <w:lang w:eastAsia="en-US"/>
        </w:rPr>
        <w:t>ansione sul mercato (dal 2017).</w:t>
      </w:r>
    </w:p>
    <w:p w:rsidR="00207AEE" w:rsidRPr="00337E3A" w:rsidRDefault="00207AEE" w:rsidP="00207AEE">
      <w:pPr>
        <w:spacing w:after="120"/>
        <w:ind w:firstLine="357"/>
        <w:jc w:val="both"/>
        <w:rPr>
          <w:rFonts w:ascii="Georgia" w:eastAsiaTheme="minorHAnsi" w:hAnsi="Georgia" w:cstheme="minorBidi"/>
          <w:lang w:eastAsia="en-US"/>
        </w:rPr>
      </w:pPr>
      <w:r w:rsidRPr="008410DA">
        <w:rPr>
          <w:rFonts w:ascii="Georgia" w:eastAsiaTheme="minorHAnsi" w:hAnsi="Georgia" w:cstheme="minorBidi"/>
          <w:lang w:eastAsia="en-US"/>
        </w:rPr>
        <w:t xml:space="preserve">Per l’attuazione del Piano nazionale per lo sviluppo della mobilità elettrica, il </w:t>
      </w:r>
      <w:r w:rsidRPr="00337E3A">
        <w:rPr>
          <w:rFonts w:ascii="Georgia" w:eastAsiaTheme="minorHAnsi" w:hAnsi="Georgia" w:cstheme="minorBidi"/>
          <w:lang w:eastAsia="en-US"/>
        </w:rPr>
        <w:t xml:space="preserve">Governo federale ha istituito nel 2010 la </w:t>
      </w:r>
      <w:r w:rsidRPr="00337E3A">
        <w:rPr>
          <w:rFonts w:ascii="Georgia" w:eastAsiaTheme="minorHAnsi" w:hAnsi="Georgia" w:cstheme="minorBidi"/>
          <w:b/>
          <w:lang w:eastAsia="en-US"/>
        </w:rPr>
        <w:t>Piattaforma nazionale elettromobilità</w:t>
      </w:r>
      <w:r w:rsidRPr="00337E3A">
        <w:rPr>
          <w:rFonts w:ascii="Georgia" w:eastAsiaTheme="minorHAnsi" w:hAnsi="Georgia" w:cstheme="minorBidi"/>
          <w:lang w:eastAsia="en-US"/>
        </w:rPr>
        <w:t xml:space="preserve"> </w:t>
      </w:r>
      <w:r w:rsidR="00751923">
        <w:rPr>
          <w:rFonts w:ascii="Georgia" w:eastAsiaTheme="minorHAnsi" w:hAnsi="Georgia" w:cstheme="minorBidi"/>
          <w:lang w:eastAsia="en-US"/>
        </w:rPr>
        <w:t>(</w:t>
      </w:r>
      <w:proofErr w:type="spellStart"/>
      <w:r w:rsidR="00751923">
        <w:rPr>
          <w:rFonts w:ascii="Georgia" w:eastAsiaTheme="minorHAnsi" w:hAnsi="Georgia" w:cstheme="minorBidi"/>
          <w:i/>
          <w:lang w:eastAsia="en-US"/>
        </w:rPr>
        <w:fldChar w:fldCharType="begin"/>
      </w:r>
      <w:r w:rsidR="00751923">
        <w:rPr>
          <w:rFonts w:ascii="Georgia" w:eastAsiaTheme="minorHAnsi" w:hAnsi="Georgia" w:cstheme="minorBidi"/>
          <w:i/>
          <w:lang w:eastAsia="en-US"/>
        </w:rPr>
        <w:instrText xml:space="preserve"> HYPERLINK "https://www.google.it/search?q=Nationale+Plattform+Elektromobilit%C3%A4t&amp;oq=Nationale+Plattform+Elektromobilit%C3%A4t&amp;aqs=chrome..69i57j0l5.2157j0j7&amp;sourceid=chrome&amp;ie=UTF-8" </w:instrText>
      </w:r>
      <w:r w:rsidR="00751923">
        <w:rPr>
          <w:rFonts w:ascii="Georgia" w:eastAsiaTheme="minorHAnsi" w:hAnsi="Georgia" w:cstheme="minorBidi"/>
          <w:i/>
          <w:lang w:eastAsia="en-US"/>
        </w:rPr>
        <w:fldChar w:fldCharType="separate"/>
      </w:r>
      <w:r w:rsidR="00751923" w:rsidRPr="00751923">
        <w:rPr>
          <w:rStyle w:val="Collegamentoipertestuale"/>
          <w:rFonts w:ascii="Georgia" w:eastAsiaTheme="minorHAnsi" w:hAnsi="Georgia" w:cstheme="minorBidi"/>
          <w:i/>
          <w:lang w:eastAsia="en-US"/>
        </w:rPr>
        <w:t>Nationale</w:t>
      </w:r>
      <w:proofErr w:type="spellEnd"/>
      <w:r w:rsidR="00751923" w:rsidRPr="00751923">
        <w:rPr>
          <w:rStyle w:val="Collegamentoipertestuale"/>
          <w:rFonts w:ascii="Georgia" w:eastAsiaTheme="minorHAnsi" w:hAnsi="Georgia" w:cstheme="minorBidi"/>
          <w:i/>
          <w:lang w:eastAsia="en-US"/>
        </w:rPr>
        <w:t xml:space="preserve"> </w:t>
      </w:r>
      <w:proofErr w:type="spellStart"/>
      <w:r w:rsidR="00751923" w:rsidRPr="00751923">
        <w:rPr>
          <w:rStyle w:val="Collegamentoipertestuale"/>
          <w:rFonts w:ascii="Georgia" w:eastAsiaTheme="minorHAnsi" w:hAnsi="Georgia" w:cstheme="minorBidi"/>
          <w:i/>
          <w:lang w:eastAsia="en-US"/>
        </w:rPr>
        <w:t>Plattform</w:t>
      </w:r>
      <w:proofErr w:type="spellEnd"/>
      <w:r w:rsidR="00751923" w:rsidRPr="00751923">
        <w:rPr>
          <w:rStyle w:val="Collegamentoipertestuale"/>
          <w:rFonts w:ascii="Georgia" w:eastAsiaTheme="minorHAnsi" w:hAnsi="Georgia" w:cstheme="minorBidi"/>
          <w:i/>
          <w:lang w:eastAsia="en-US"/>
        </w:rPr>
        <w:t xml:space="preserve"> </w:t>
      </w:r>
      <w:proofErr w:type="spellStart"/>
      <w:r w:rsidR="00751923" w:rsidRPr="00751923">
        <w:rPr>
          <w:rStyle w:val="Collegamentoipertestuale"/>
          <w:rFonts w:ascii="Georgia" w:eastAsiaTheme="minorHAnsi" w:hAnsi="Georgia" w:cstheme="minorBidi"/>
          <w:i/>
          <w:lang w:eastAsia="en-US"/>
        </w:rPr>
        <w:t>Elektromobilität</w:t>
      </w:r>
      <w:proofErr w:type="spellEnd"/>
      <w:r w:rsidR="00751923">
        <w:rPr>
          <w:rFonts w:ascii="Georgia" w:eastAsiaTheme="minorHAnsi" w:hAnsi="Georgia" w:cstheme="minorBidi"/>
          <w:i/>
          <w:lang w:eastAsia="en-US"/>
        </w:rPr>
        <w:fldChar w:fldCharType="end"/>
      </w:r>
      <w:r w:rsidRPr="00337E3A">
        <w:rPr>
          <w:rFonts w:ascii="Georgia" w:eastAsiaTheme="minorHAnsi" w:hAnsi="Georgia" w:cstheme="minorBidi"/>
          <w:lang w:eastAsia="en-US"/>
        </w:rPr>
        <w:t xml:space="preserve"> - NPE), composta da rappresentanti della politica, dell’industria, della scienza, dei comuni e dei consumatori. Ogni anno dal 2010 la piattaforma ha presentato alla cancelleria tedesca una relazione sui progressi del piano nazionale. Obiettivo del Governo federale è di raggiungere</w:t>
      </w:r>
      <w:r w:rsidR="00F53092">
        <w:rPr>
          <w:rFonts w:ascii="Georgia" w:eastAsiaTheme="minorHAnsi" w:hAnsi="Georgia" w:cstheme="minorBidi"/>
          <w:lang w:eastAsia="en-US"/>
        </w:rPr>
        <w:t>, come detto,</w:t>
      </w:r>
      <w:r w:rsidRPr="00337E3A">
        <w:rPr>
          <w:rFonts w:ascii="Georgia" w:eastAsiaTheme="minorHAnsi" w:hAnsi="Georgia" w:cstheme="minorBidi"/>
          <w:lang w:eastAsia="en-US"/>
        </w:rPr>
        <w:t xml:space="preserve"> un milione di veicoli elettrici nel 2020 e sei milioni di veicoli elettrici nel 2030.</w:t>
      </w:r>
    </w:p>
    <w:p w:rsidR="00207AEE" w:rsidRDefault="00207AEE" w:rsidP="00207AEE">
      <w:pPr>
        <w:spacing w:after="120"/>
        <w:ind w:firstLine="357"/>
        <w:jc w:val="both"/>
        <w:rPr>
          <w:rFonts w:ascii="Georgia" w:eastAsiaTheme="minorHAnsi" w:hAnsi="Georgia" w:cstheme="minorBidi"/>
          <w:lang w:eastAsia="en-US"/>
        </w:rPr>
      </w:pPr>
      <w:r w:rsidRPr="00337E3A">
        <w:rPr>
          <w:rFonts w:ascii="Georgia" w:eastAsiaTheme="minorHAnsi" w:hAnsi="Georgia" w:cstheme="minorBidi"/>
          <w:lang w:eastAsia="en-US"/>
        </w:rPr>
        <w:t>Le misure e i piani adottati dal Governo federale nel Pacchetto congiunturale II del 2009 (</w:t>
      </w:r>
      <w:proofErr w:type="spellStart"/>
      <w:r w:rsidRPr="00337E3A">
        <w:rPr>
          <w:rFonts w:ascii="Georgia" w:eastAsiaTheme="minorHAnsi" w:hAnsi="Georgia" w:cstheme="minorBidi"/>
          <w:i/>
          <w:lang w:eastAsia="en-US"/>
        </w:rPr>
        <w:t>Konjunkturpaket</w:t>
      </w:r>
      <w:proofErr w:type="spellEnd"/>
      <w:r w:rsidRPr="00337E3A">
        <w:rPr>
          <w:rFonts w:ascii="Georgia" w:eastAsiaTheme="minorHAnsi" w:hAnsi="Georgia" w:cstheme="minorBidi"/>
          <w:lang w:eastAsia="en-US"/>
        </w:rPr>
        <w:t xml:space="preserve"> II) hanno </w:t>
      </w:r>
      <w:r w:rsidR="00F53092">
        <w:rPr>
          <w:rFonts w:ascii="Georgia" w:eastAsiaTheme="minorHAnsi" w:hAnsi="Georgia" w:cstheme="minorBidi"/>
          <w:lang w:eastAsia="en-US"/>
        </w:rPr>
        <w:t xml:space="preserve">svolto il ruolo </w:t>
      </w:r>
      <w:r w:rsidRPr="00337E3A">
        <w:rPr>
          <w:rFonts w:ascii="Georgia" w:eastAsiaTheme="minorHAnsi" w:hAnsi="Georgia" w:cstheme="minorBidi"/>
          <w:lang w:eastAsia="en-US"/>
        </w:rPr>
        <w:t>d</w:t>
      </w:r>
      <w:r w:rsidR="00F53092">
        <w:rPr>
          <w:rFonts w:ascii="Georgia" w:eastAsiaTheme="minorHAnsi" w:hAnsi="Georgia" w:cstheme="minorBidi"/>
          <w:lang w:eastAsia="en-US"/>
        </w:rPr>
        <w:t>i</w:t>
      </w:r>
      <w:r w:rsidRPr="00337E3A">
        <w:rPr>
          <w:rFonts w:ascii="Georgia" w:eastAsiaTheme="minorHAnsi" w:hAnsi="Georgia" w:cstheme="minorBidi"/>
          <w:lang w:eastAsia="en-US"/>
        </w:rPr>
        <w:t xml:space="preserve"> catalizzatori. </w:t>
      </w:r>
      <w:r w:rsidR="00F53092">
        <w:rPr>
          <w:rFonts w:ascii="Georgia" w:eastAsiaTheme="minorHAnsi" w:hAnsi="Georgia" w:cstheme="minorBidi"/>
          <w:lang w:eastAsia="en-US"/>
        </w:rPr>
        <w:t>Ad</w:t>
      </w:r>
      <w:r w:rsidRPr="00337E3A">
        <w:rPr>
          <w:rFonts w:ascii="Georgia" w:eastAsiaTheme="minorHAnsi" w:hAnsi="Georgia" w:cstheme="minorBidi"/>
          <w:lang w:eastAsia="en-US"/>
        </w:rPr>
        <w:t xml:space="preserve"> esempio, il Ministero federale dei trasporti ha posto come fulcro della sua politica il progetto “</w:t>
      </w:r>
      <w:r w:rsidRPr="00337E3A">
        <w:rPr>
          <w:rFonts w:ascii="Georgia" w:eastAsiaTheme="minorHAnsi" w:hAnsi="Georgia" w:cstheme="minorBidi"/>
          <w:b/>
          <w:lang w:eastAsia="en-US"/>
        </w:rPr>
        <w:t>Elettromobilità in regioni modello</w:t>
      </w:r>
      <w:r w:rsidRPr="00337E3A">
        <w:rPr>
          <w:rFonts w:ascii="Georgia" w:eastAsiaTheme="minorHAnsi" w:hAnsi="Georgia" w:cstheme="minorBidi"/>
          <w:lang w:eastAsia="en-US"/>
        </w:rPr>
        <w:t xml:space="preserve">” </w:t>
      </w:r>
      <w:r w:rsidRPr="00337E3A">
        <w:rPr>
          <w:rFonts w:ascii="Georgia" w:eastAsiaTheme="minorHAnsi" w:hAnsi="Georgia" w:cstheme="minorBidi"/>
          <w:lang w:eastAsia="en-US"/>
        </w:rPr>
        <w:lastRenderedPageBreak/>
        <w:t>(</w:t>
      </w:r>
      <w:proofErr w:type="spellStart"/>
      <w:r w:rsidR="00CC39E4" w:rsidRPr="00CC39E4">
        <w:rPr>
          <w:rFonts w:ascii="Georgia" w:eastAsiaTheme="minorHAnsi" w:hAnsi="Georgia" w:cstheme="minorBidi"/>
          <w:i/>
          <w:lang w:eastAsia="en-US"/>
        </w:rPr>
        <w:fldChar w:fldCharType="begin"/>
      </w:r>
      <w:r w:rsidR="00CC39E4" w:rsidRPr="00CC39E4">
        <w:rPr>
          <w:rFonts w:ascii="Georgia" w:eastAsiaTheme="minorHAnsi" w:hAnsi="Georgia" w:cstheme="minorBidi"/>
          <w:i/>
          <w:lang w:eastAsia="en-US"/>
        </w:rPr>
        <w:instrText xml:space="preserve"> HYPERLINK "https://www.bmvi.de/SharedDocs/DE/Anlage/VerkehrUndMobilitaet/foerderprogramm-modellregion-elektromobilitaet.pdf?__blob=publicationFile" </w:instrText>
      </w:r>
      <w:r w:rsidR="00CC39E4" w:rsidRPr="00CC39E4">
        <w:rPr>
          <w:rFonts w:ascii="Georgia" w:eastAsiaTheme="minorHAnsi" w:hAnsi="Georgia" w:cstheme="minorBidi"/>
          <w:i/>
          <w:lang w:eastAsia="en-US"/>
        </w:rPr>
        <w:fldChar w:fldCharType="separate"/>
      </w:r>
      <w:r w:rsidR="00CC39E4" w:rsidRPr="00CC39E4">
        <w:rPr>
          <w:rStyle w:val="Collegamentoipertestuale"/>
          <w:rFonts w:ascii="Georgia" w:eastAsiaTheme="minorHAnsi" w:hAnsi="Georgia" w:cstheme="minorBidi"/>
          <w:i/>
          <w:lang w:eastAsia="en-US"/>
        </w:rPr>
        <w:t>Förderprogramm</w:t>
      </w:r>
      <w:proofErr w:type="spellEnd"/>
      <w:r w:rsidR="00CC39E4" w:rsidRPr="00CC39E4">
        <w:rPr>
          <w:rStyle w:val="Collegamentoipertestuale"/>
          <w:rFonts w:ascii="Georgia" w:eastAsiaTheme="minorHAnsi" w:hAnsi="Georgia" w:cstheme="minorBidi"/>
          <w:i/>
          <w:lang w:eastAsia="en-US"/>
        </w:rPr>
        <w:t xml:space="preserve"> </w:t>
      </w:r>
      <w:proofErr w:type="spellStart"/>
      <w:r w:rsidR="00CC39E4" w:rsidRPr="00CC39E4">
        <w:rPr>
          <w:rStyle w:val="Collegamentoipertestuale"/>
          <w:rFonts w:ascii="Georgia" w:eastAsiaTheme="minorHAnsi" w:hAnsi="Georgia" w:cstheme="minorBidi"/>
          <w:i/>
          <w:lang w:eastAsia="en-US"/>
        </w:rPr>
        <w:t>Modellregionen</w:t>
      </w:r>
      <w:proofErr w:type="spellEnd"/>
      <w:r w:rsidR="00CC39E4" w:rsidRPr="00CC39E4">
        <w:rPr>
          <w:rStyle w:val="Collegamentoipertestuale"/>
          <w:rFonts w:ascii="Georgia" w:eastAsiaTheme="minorHAnsi" w:hAnsi="Georgia" w:cstheme="minorBidi"/>
          <w:i/>
          <w:lang w:eastAsia="en-US"/>
        </w:rPr>
        <w:t xml:space="preserve"> </w:t>
      </w:r>
      <w:proofErr w:type="spellStart"/>
      <w:r w:rsidR="00CC39E4" w:rsidRPr="00CC39E4">
        <w:rPr>
          <w:rStyle w:val="Collegamentoipertestuale"/>
          <w:rFonts w:ascii="Georgia" w:eastAsiaTheme="minorHAnsi" w:hAnsi="Georgia" w:cstheme="minorBidi"/>
          <w:i/>
          <w:lang w:eastAsia="en-US"/>
        </w:rPr>
        <w:t>Elektromobilitä</w:t>
      </w:r>
      <w:proofErr w:type="spellEnd"/>
      <w:r w:rsidR="00CC39E4" w:rsidRPr="00CC39E4">
        <w:rPr>
          <w:rFonts w:ascii="Georgia" w:eastAsiaTheme="minorHAnsi" w:hAnsi="Georgia" w:cstheme="minorBidi"/>
          <w:i/>
          <w:lang w:eastAsia="en-US"/>
        </w:rPr>
        <w:fldChar w:fldCharType="end"/>
      </w:r>
      <w:r w:rsidRPr="00337E3A">
        <w:rPr>
          <w:rFonts w:ascii="Georgia" w:eastAsiaTheme="minorHAnsi" w:hAnsi="Georgia" w:cstheme="minorBidi"/>
          <w:lang w:eastAsia="en-US"/>
        </w:rPr>
        <w:t>)</w:t>
      </w:r>
      <w:r w:rsidR="00F53092">
        <w:rPr>
          <w:rFonts w:ascii="Georgia" w:eastAsiaTheme="minorHAnsi" w:hAnsi="Georgia" w:cstheme="minorBidi"/>
          <w:lang w:eastAsia="en-US"/>
        </w:rPr>
        <w:t xml:space="preserve"> -</w:t>
      </w:r>
      <w:r w:rsidRPr="00337E3A">
        <w:rPr>
          <w:rFonts w:ascii="Georgia" w:eastAsiaTheme="minorHAnsi" w:hAnsi="Georgia" w:cstheme="minorBidi"/>
          <w:lang w:eastAsia="en-US"/>
        </w:rPr>
        <w:t xml:space="preserve"> 8 progetti pilota in altrettant</w:t>
      </w:r>
      <w:r w:rsidR="00F53092">
        <w:rPr>
          <w:rFonts w:ascii="Georgia" w:eastAsiaTheme="minorHAnsi" w:hAnsi="Georgia" w:cstheme="minorBidi"/>
          <w:lang w:eastAsia="en-US"/>
        </w:rPr>
        <w:t>e</w:t>
      </w:r>
      <w:r w:rsidRPr="00337E3A">
        <w:rPr>
          <w:rFonts w:ascii="Georgia" w:eastAsiaTheme="minorHAnsi" w:hAnsi="Georgia" w:cstheme="minorBidi"/>
          <w:lang w:eastAsia="en-US"/>
        </w:rPr>
        <w:t xml:space="preserve"> regioni </w:t>
      </w:r>
      <w:r w:rsidR="00F53092">
        <w:rPr>
          <w:rFonts w:ascii="Georgia" w:eastAsiaTheme="minorHAnsi" w:hAnsi="Georgia" w:cstheme="minorBidi"/>
          <w:lang w:eastAsia="en-US"/>
        </w:rPr>
        <w:t xml:space="preserve">finanziati </w:t>
      </w:r>
      <w:r w:rsidRPr="00337E3A">
        <w:rPr>
          <w:rFonts w:ascii="Georgia" w:eastAsiaTheme="minorHAnsi" w:hAnsi="Georgia" w:cstheme="minorBidi"/>
          <w:lang w:eastAsia="en-US"/>
        </w:rPr>
        <w:t>con 180 milioni di euro</w:t>
      </w:r>
      <w:r w:rsidR="00F53092">
        <w:rPr>
          <w:rFonts w:ascii="Georgia" w:eastAsiaTheme="minorHAnsi" w:hAnsi="Georgia" w:cstheme="minorBidi"/>
          <w:lang w:eastAsia="en-US"/>
        </w:rPr>
        <w:t xml:space="preserve"> –</w:t>
      </w:r>
      <w:r w:rsidRPr="00337E3A">
        <w:rPr>
          <w:rFonts w:ascii="Georgia" w:eastAsiaTheme="minorHAnsi" w:hAnsi="Georgia" w:cstheme="minorBidi"/>
          <w:lang w:eastAsia="en-US"/>
        </w:rPr>
        <w:t xml:space="preserve"> </w:t>
      </w:r>
      <w:r w:rsidR="00F53092">
        <w:rPr>
          <w:rFonts w:ascii="Georgia" w:eastAsiaTheme="minorHAnsi" w:hAnsi="Georgia" w:cstheme="minorBidi"/>
          <w:lang w:eastAsia="en-US"/>
        </w:rPr>
        <w:t>al quale</w:t>
      </w:r>
      <w:r w:rsidRPr="00337E3A">
        <w:rPr>
          <w:rFonts w:ascii="Georgia" w:eastAsiaTheme="minorHAnsi" w:hAnsi="Georgia" w:cstheme="minorBidi"/>
          <w:lang w:eastAsia="en-US"/>
        </w:rPr>
        <w:t xml:space="preserve"> han</w:t>
      </w:r>
      <w:r w:rsidR="00B06B18" w:rsidRPr="00337E3A">
        <w:rPr>
          <w:rFonts w:ascii="Georgia" w:eastAsiaTheme="minorHAnsi" w:hAnsi="Georgia" w:cstheme="minorBidi"/>
          <w:lang w:eastAsia="en-US"/>
        </w:rPr>
        <w:t xml:space="preserve">no lavorato </w:t>
      </w:r>
      <w:r w:rsidR="00F53092">
        <w:rPr>
          <w:rFonts w:ascii="Georgia" w:eastAsiaTheme="minorHAnsi" w:hAnsi="Georgia" w:cstheme="minorBidi"/>
          <w:lang w:eastAsia="en-US"/>
        </w:rPr>
        <w:t xml:space="preserve">esponenti del mondo scientifico, </w:t>
      </w:r>
      <w:r w:rsidRPr="00337E3A">
        <w:rPr>
          <w:rFonts w:ascii="Georgia" w:eastAsiaTheme="minorHAnsi" w:hAnsi="Georgia" w:cstheme="minorBidi"/>
          <w:lang w:eastAsia="en-US"/>
        </w:rPr>
        <w:t>industria</w:t>
      </w:r>
      <w:r w:rsidR="00F53092">
        <w:rPr>
          <w:rFonts w:ascii="Georgia" w:eastAsiaTheme="minorHAnsi" w:hAnsi="Georgia" w:cstheme="minorBidi"/>
          <w:lang w:eastAsia="en-US"/>
        </w:rPr>
        <w:t>le</w:t>
      </w:r>
      <w:r w:rsidRPr="00337E3A">
        <w:rPr>
          <w:rFonts w:ascii="Georgia" w:eastAsiaTheme="minorHAnsi" w:hAnsi="Georgia" w:cstheme="minorBidi"/>
          <w:lang w:eastAsia="en-US"/>
        </w:rPr>
        <w:t xml:space="preserve"> e de</w:t>
      </w:r>
      <w:r w:rsidR="00F53092">
        <w:rPr>
          <w:rFonts w:ascii="Georgia" w:eastAsiaTheme="minorHAnsi" w:hAnsi="Georgia" w:cstheme="minorBidi"/>
          <w:lang w:eastAsia="en-US"/>
        </w:rPr>
        <w:t>l governo locale (</w:t>
      </w:r>
      <w:r w:rsidRPr="00337E3A">
        <w:rPr>
          <w:rFonts w:ascii="Georgia" w:eastAsiaTheme="minorHAnsi" w:hAnsi="Georgia" w:cstheme="minorBidi"/>
          <w:lang w:eastAsia="en-US"/>
        </w:rPr>
        <w:t>comuni</w:t>
      </w:r>
      <w:r w:rsidR="00F53092">
        <w:rPr>
          <w:rFonts w:ascii="Georgia" w:eastAsiaTheme="minorHAnsi" w:hAnsi="Georgia" w:cstheme="minorBidi"/>
          <w:lang w:eastAsia="en-US"/>
        </w:rPr>
        <w:t>)</w:t>
      </w:r>
      <w:r w:rsidRPr="00337E3A">
        <w:rPr>
          <w:rFonts w:ascii="Georgia" w:eastAsiaTheme="minorHAnsi" w:hAnsi="Georgia" w:cstheme="minorBidi"/>
          <w:lang w:eastAsia="en-US"/>
        </w:rPr>
        <w:t xml:space="preserve"> al fine di realizzare le infrastrutture e </w:t>
      </w:r>
      <w:r w:rsidR="00FE63BB">
        <w:rPr>
          <w:rFonts w:ascii="Georgia" w:eastAsiaTheme="minorHAnsi" w:hAnsi="Georgia" w:cstheme="minorBidi"/>
          <w:lang w:eastAsia="en-US"/>
        </w:rPr>
        <w:t xml:space="preserve">sviluppare </w:t>
      </w:r>
      <w:r w:rsidRPr="00337E3A">
        <w:rPr>
          <w:rFonts w:ascii="Georgia" w:eastAsiaTheme="minorHAnsi" w:hAnsi="Georgia" w:cstheme="minorBidi"/>
          <w:lang w:eastAsia="en-US"/>
        </w:rPr>
        <w:t xml:space="preserve">l’elettromobilità nel settore </w:t>
      </w:r>
      <w:r w:rsidR="00FE63BB">
        <w:rPr>
          <w:rFonts w:ascii="Georgia" w:eastAsiaTheme="minorHAnsi" w:hAnsi="Georgia" w:cstheme="minorBidi"/>
          <w:lang w:eastAsia="en-US"/>
        </w:rPr>
        <w:t xml:space="preserve">del trasporto </w:t>
      </w:r>
      <w:r w:rsidRPr="00337E3A">
        <w:rPr>
          <w:rFonts w:ascii="Georgia" w:eastAsiaTheme="minorHAnsi" w:hAnsi="Georgia" w:cstheme="minorBidi"/>
          <w:lang w:eastAsia="en-US"/>
        </w:rPr>
        <w:t>pubblico</w:t>
      </w:r>
      <w:r w:rsidR="00FE63BB">
        <w:rPr>
          <w:rFonts w:ascii="Georgia" w:eastAsiaTheme="minorHAnsi" w:hAnsi="Georgia" w:cstheme="minorBidi"/>
          <w:lang w:eastAsia="en-US"/>
        </w:rPr>
        <w:t xml:space="preserve"> locale</w:t>
      </w:r>
      <w:r w:rsidR="00B438D2">
        <w:rPr>
          <w:rFonts w:ascii="Georgia" w:eastAsiaTheme="minorHAnsi" w:hAnsi="Georgia" w:cstheme="minorBidi"/>
          <w:lang w:eastAsia="en-US"/>
        </w:rPr>
        <w:t>.</w:t>
      </w:r>
    </w:p>
    <w:p w:rsidR="005E377B" w:rsidRPr="00337E3A" w:rsidRDefault="005E377B" w:rsidP="00207AEE">
      <w:pPr>
        <w:spacing w:after="120"/>
        <w:ind w:firstLine="357"/>
        <w:jc w:val="both"/>
        <w:rPr>
          <w:rFonts w:ascii="Georgia" w:eastAsiaTheme="minorHAnsi" w:hAnsi="Georgia" w:cstheme="minorBidi"/>
          <w:lang w:eastAsia="en-US"/>
        </w:rPr>
      </w:pPr>
    </w:p>
    <w:p w:rsidR="001C47E3" w:rsidRPr="00337E3A" w:rsidRDefault="001C47E3" w:rsidP="001C47E3">
      <w:pPr>
        <w:pStyle w:val="NormaleWeb"/>
        <w:spacing w:before="0" w:beforeAutospacing="0" w:after="240" w:afterAutospacing="0"/>
        <w:rPr>
          <w:rFonts w:ascii="Georgia" w:hAnsi="Georgia"/>
          <w:b/>
          <w:bCs/>
          <w:sz w:val="28"/>
          <w:szCs w:val="28"/>
        </w:rPr>
      </w:pPr>
      <w:r w:rsidRPr="00337E3A">
        <w:rPr>
          <w:rFonts w:ascii="Georgia" w:hAnsi="Georgia"/>
          <w:b/>
          <w:bCs/>
          <w:sz w:val="28"/>
          <w:szCs w:val="28"/>
        </w:rPr>
        <w:t>Regno Unito</w:t>
      </w:r>
    </w:p>
    <w:p w:rsidR="001C47E3" w:rsidRPr="00337E3A" w:rsidRDefault="001C47E3" w:rsidP="001C47E3">
      <w:pPr>
        <w:spacing w:after="120"/>
        <w:ind w:firstLine="357"/>
        <w:jc w:val="both"/>
        <w:rPr>
          <w:rFonts w:ascii="Georgia" w:hAnsi="Georgia"/>
        </w:rPr>
      </w:pPr>
      <w:r w:rsidRPr="00337E3A">
        <w:rPr>
          <w:rFonts w:ascii="Georgia" w:hAnsi="Georgia"/>
        </w:rPr>
        <w:t xml:space="preserve">Nel Regno Unito, il tema della politica energetica appare risentire di innovazioni recenti che, non ancora del tutto sedimentate, derivano sia dal mutamento degli indirizzi politici interni, sia dalla scelta – di portata epocale - di porre in discussione l’appartenenza all’Unione </w:t>
      </w:r>
      <w:r w:rsidR="0016202E">
        <w:rPr>
          <w:rFonts w:ascii="Georgia" w:hAnsi="Georgia"/>
        </w:rPr>
        <w:t>e</w:t>
      </w:r>
      <w:r w:rsidRPr="00337E3A">
        <w:rPr>
          <w:rFonts w:ascii="Georgia" w:hAnsi="Georgia"/>
        </w:rPr>
        <w:t xml:space="preserve">uropea e prefigurare con essa un diverso ordine di relazioni. </w:t>
      </w:r>
    </w:p>
    <w:p w:rsidR="001C47E3" w:rsidRPr="00337E3A" w:rsidRDefault="001C47E3" w:rsidP="001C47E3">
      <w:pPr>
        <w:spacing w:after="120"/>
        <w:ind w:firstLine="357"/>
        <w:jc w:val="both"/>
        <w:rPr>
          <w:rFonts w:ascii="Georgia" w:hAnsi="Georgia"/>
        </w:rPr>
      </w:pPr>
      <w:r w:rsidRPr="00337E3A">
        <w:rPr>
          <w:rFonts w:ascii="Georgia" w:hAnsi="Georgia"/>
        </w:rPr>
        <w:t xml:space="preserve">Tali innovazioni hanno avviato la revisione, almeno in parte, dei criteri ispiratori dei piani nazionali precedentemente adottati in materia di efficienza energetica, dei quali alcuni aspetti qualificanti possono ritenersi già ora superati: tra questi, ad esempio, il </w:t>
      </w:r>
      <w:r w:rsidRPr="00337E3A">
        <w:rPr>
          <w:rFonts w:ascii="Georgia" w:hAnsi="Georgia"/>
          <w:i/>
        </w:rPr>
        <w:t>Green Deal</w:t>
      </w:r>
      <w:r w:rsidRPr="00337E3A">
        <w:rPr>
          <w:rFonts w:ascii="Georgia" w:hAnsi="Georgia"/>
        </w:rPr>
        <w:t xml:space="preserve">, ossia il programma di incentivi pubblici per la riqualificazione energetica degli edifici introdotto nel 2012, il cui schema ha concluso la sua operatività nel 2015 e non è stato a tutt’oggi proseguito. </w:t>
      </w:r>
    </w:p>
    <w:p w:rsidR="001C47E3" w:rsidRPr="00337E3A" w:rsidRDefault="001C47E3" w:rsidP="001C47E3">
      <w:pPr>
        <w:spacing w:after="120"/>
        <w:ind w:firstLine="357"/>
        <w:jc w:val="both"/>
        <w:rPr>
          <w:rFonts w:ascii="Georgia" w:hAnsi="Georgia"/>
        </w:rPr>
      </w:pPr>
      <w:r w:rsidRPr="00337E3A">
        <w:rPr>
          <w:rFonts w:ascii="Georgia" w:hAnsi="Georgia"/>
        </w:rPr>
        <w:t xml:space="preserve">La valutazione delle possibili discontinuità dell’azione pubblica in questo ambito può apprezzarsi alla luce di alcune impostazioni precedenti, che possono qui essere sommariamente richiamate. </w:t>
      </w:r>
    </w:p>
    <w:p w:rsidR="004F6982" w:rsidRDefault="001C47E3" w:rsidP="001C47E3">
      <w:pPr>
        <w:spacing w:after="120"/>
        <w:ind w:firstLine="357"/>
        <w:jc w:val="both"/>
        <w:rPr>
          <w:rFonts w:ascii="Georgia" w:hAnsi="Georgia"/>
        </w:rPr>
      </w:pPr>
      <w:r w:rsidRPr="00337E3A">
        <w:rPr>
          <w:rFonts w:ascii="Georgia" w:hAnsi="Georgia"/>
        </w:rPr>
        <w:t>Nella fase precedente ai mutamenti politici s</w:t>
      </w:r>
      <w:r w:rsidR="00C36EB9">
        <w:rPr>
          <w:rFonts w:ascii="Georgia" w:hAnsi="Georgia"/>
        </w:rPr>
        <w:t>focia</w:t>
      </w:r>
      <w:r w:rsidRPr="00337E3A">
        <w:rPr>
          <w:rFonts w:ascii="Georgia" w:hAnsi="Georgia"/>
        </w:rPr>
        <w:t xml:space="preserve">ti, come già detto, </w:t>
      </w:r>
      <w:r w:rsidR="00C36EB9">
        <w:rPr>
          <w:rFonts w:ascii="Georgia" w:hAnsi="Georgia"/>
        </w:rPr>
        <w:t>ne</w:t>
      </w:r>
      <w:r w:rsidRPr="00337E3A">
        <w:rPr>
          <w:rFonts w:ascii="Georgia" w:hAnsi="Georgia"/>
        </w:rPr>
        <w:t xml:space="preserve">ll’insediamento del secondo Governo Cameron nel 2015 e </w:t>
      </w:r>
      <w:r w:rsidR="00C36EB9">
        <w:rPr>
          <w:rFonts w:ascii="Georgia" w:hAnsi="Georgia"/>
        </w:rPr>
        <w:t>ne</w:t>
      </w:r>
      <w:r w:rsidRPr="00337E3A">
        <w:rPr>
          <w:rFonts w:ascii="Georgia" w:hAnsi="Georgia"/>
        </w:rPr>
        <w:t xml:space="preserve">lle sue opzioni </w:t>
      </w:r>
      <w:r w:rsidR="00C36EB9">
        <w:rPr>
          <w:rFonts w:ascii="Georgia" w:hAnsi="Georgia"/>
        </w:rPr>
        <w:t xml:space="preserve">in </w:t>
      </w:r>
      <w:r w:rsidRPr="00337E3A">
        <w:rPr>
          <w:rFonts w:ascii="Georgia" w:hAnsi="Georgia"/>
        </w:rPr>
        <w:t xml:space="preserve">materia europea, l’impostazione di </w:t>
      </w:r>
      <w:r w:rsidRPr="00337E3A">
        <w:rPr>
          <w:rFonts w:ascii="Georgia" w:hAnsi="Georgia"/>
          <w:b/>
        </w:rPr>
        <w:t>politica energetica</w:t>
      </w:r>
      <w:r w:rsidRPr="00337E3A">
        <w:rPr>
          <w:rFonts w:ascii="Georgia" w:hAnsi="Georgia"/>
        </w:rPr>
        <w:t xml:space="preserve"> adottata dal Regno Unito ha trovato espressione nel </w:t>
      </w:r>
      <w:r w:rsidR="0016202E" w:rsidRPr="0016202E">
        <w:rPr>
          <w:rFonts w:ascii="Georgia" w:hAnsi="Georgia"/>
          <w:b/>
        </w:rPr>
        <w:t>P</w:t>
      </w:r>
      <w:r w:rsidRPr="0016202E">
        <w:rPr>
          <w:rFonts w:ascii="Georgia" w:hAnsi="Georgia"/>
          <w:b/>
        </w:rPr>
        <w:t>iano nazional</w:t>
      </w:r>
      <w:r w:rsidR="0016202E" w:rsidRPr="0016202E">
        <w:rPr>
          <w:rFonts w:ascii="Georgia" w:hAnsi="Georgia"/>
          <w:b/>
        </w:rPr>
        <w:t>e per l’efficienza energetica</w:t>
      </w:r>
      <w:r w:rsidRPr="00337E3A">
        <w:rPr>
          <w:rFonts w:ascii="Georgia" w:hAnsi="Georgia"/>
        </w:rPr>
        <w:t xml:space="preserve">, pubblicato nel </w:t>
      </w:r>
      <w:r w:rsidRPr="0016202E">
        <w:rPr>
          <w:rFonts w:ascii="Georgia" w:hAnsi="Georgia"/>
        </w:rPr>
        <w:t>2014</w:t>
      </w:r>
      <w:r w:rsidRPr="00337E3A">
        <w:rPr>
          <w:rFonts w:ascii="Georgia" w:hAnsi="Georgia"/>
        </w:rPr>
        <w:t xml:space="preserve"> in conformità alla direttiva europea 2012/27/UE (</w:t>
      </w:r>
      <w:hyperlink r:id="rId20" w:history="1">
        <w:r w:rsidR="0016202E" w:rsidRPr="0016202E">
          <w:rPr>
            <w:rStyle w:val="Collegamentoipertestuale"/>
            <w:rFonts w:ascii="Georgia" w:hAnsi="Georgia"/>
            <w:i/>
          </w:rPr>
          <w:t xml:space="preserve">UK </w:t>
        </w:r>
        <w:r w:rsidRPr="0016202E">
          <w:rPr>
            <w:rStyle w:val="Collegamentoipertestuale"/>
            <w:rFonts w:ascii="Georgia" w:hAnsi="Georgia"/>
            <w:i/>
          </w:rPr>
          <w:t xml:space="preserve">National Energy </w:t>
        </w:r>
        <w:proofErr w:type="spellStart"/>
        <w:r w:rsidRPr="0016202E">
          <w:rPr>
            <w:rStyle w:val="Collegamentoipertestuale"/>
            <w:rFonts w:ascii="Georgia" w:hAnsi="Georgia"/>
            <w:i/>
          </w:rPr>
          <w:t>Efficiency</w:t>
        </w:r>
        <w:proofErr w:type="spellEnd"/>
        <w:r w:rsidRPr="0016202E">
          <w:rPr>
            <w:rStyle w:val="Collegamentoipertestuale"/>
            <w:rFonts w:ascii="Georgia" w:hAnsi="Georgia"/>
            <w:i/>
          </w:rPr>
          <w:t xml:space="preserve"> Action Plan</w:t>
        </w:r>
      </w:hyperlink>
      <w:r w:rsidRPr="00337E3A">
        <w:rPr>
          <w:rFonts w:ascii="Georgia" w:hAnsi="Georgia"/>
        </w:rPr>
        <w:t xml:space="preserve">). Con esso si sono poste le basi di un </w:t>
      </w:r>
      <w:r w:rsidRPr="00337E3A">
        <w:rPr>
          <w:rFonts w:ascii="Georgia" w:hAnsi="Georgia"/>
          <w:b/>
        </w:rPr>
        <w:t>piano d’azione</w:t>
      </w:r>
      <w:r w:rsidRPr="00337E3A">
        <w:rPr>
          <w:rFonts w:ascii="Georgia" w:hAnsi="Georgia"/>
        </w:rPr>
        <w:t xml:space="preserve"> finalizzato ala tutela dell’ambiente e della valorizzazione delle </w:t>
      </w:r>
      <w:r w:rsidRPr="00337E3A">
        <w:rPr>
          <w:rFonts w:ascii="Georgia" w:hAnsi="Georgia"/>
          <w:b/>
        </w:rPr>
        <w:t>fonti di</w:t>
      </w:r>
      <w:r w:rsidRPr="00337E3A">
        <w:rPr>
          <w:rFonts w:ascii="Georgia" w:hAnsi="Georgia"/>
        </w:rPr>
        <w:t xml:space="preserve"> </w:t>
      </w:r>
      <w:r w:rsidRPr="00337E3A">
        <w:rPr>
          <w:rFonts w:ascii="Georgia" w:hAnsi="Georgia"/>
          <w:b/>
        </w:rPr>
        <w:t>energia rinnovabile</w:t>
      </w:r>
      <w:r w:rsidRPr="00337E3A">
        <w:rPr>
          <w:rFonts w:ascii="Georgia" w:hAnsi="Georgia"/>
        </w:rPr>
        <w:t xml:space="preserve">, nella duplice prospettiva, ambientale e sociale, di agevolare il ricorso alle risorse energetiche alternative e, nel contempo, di ridurre le difficoltà delle persone meno abbienti di poter </w:t>
      </w:r>
      <w:r w:rsidR="00E86E28">
        <w:rPr>
          <w:rFonts w:ascii="Georgia" w:hAnsi="Georgia"/>
        </w:rPr>
        <w:t xml:space="preserve">fruire di </w:t>
      </w:r>
      <w:r w:rsidRPr="00337E3A">
        <w:rPr>
          <w:rFonts w:ascii="Georgia" w:hAnsi="Georgia"/>
        </w:rPr>
        <w:t>un adeguato livello di riscaldamento all’interno delle proprie abitazioni (</w:t>
      </w:r>
      <w:proofErr w:type="spellStart"/>
      <w:r w:rsidRPr="00337E3A">
        <w:rPr>
          <w:rFonts w:ascii="Georgia" w:hAnsi="Georgia"/>
          <w:i/>
        </w:rPr>
        <w:t>fuel</w:t>
      </w:r>
      <w:proofErr w:type="spellEnd"/>
      <w:r w:rsidRPr="00337E3A">
        <w:rPr>
          <w:rFonts w:ascii="Georgia" w:hAnsi="Georgia"/>
          <w:i/>
        </w:rPr>
        <w:t xml:space="preserve"> </w:t>
      </w:r>
      <w:proofErr w:type="spellStart"/>
      <w:r w:rsidRPr="00337E3A">
        <w:rPr>
          <w:rFonts w:ascii="Georgia" w:hAnsi="Georgia"/>
          <w:i/>
        </w:rPr>
        <w:t>poverty</w:t>
      </w:r>
      <w:proofErr w:type="spellEnd"/>
      <w:r w:rsidRPr="00337E3A">
        <w:rPr>
          <w:rFonts w:ascii="Georgia" w:hAnsi="Georgia"/>
        </w:rPr>
        <w:t>).</w:t>
      </w:r>
    </w:p>
    <w:p w:rsidR="001C47E3" w:rsidRPr="00337E3A" w:rsidRDefault="00C36EB9" w:rsidP="001C47E3">
      <w:pPr>
        <w:spacing w:after="120"/>
        <w:ind w:firstLine="357"/>
        <w:jc w:val="both"/>
        <w:rPr>
          <w:rFonts w:ascii="Georgia" w:hAnsi="Georgia"/>
        </w:rPr>
      </w:pPr>
      <w:r>
        <w:rPr>
          <w:rFonts w:ascii="Georgia" w:hAnsi="Georgia"/>
        </w:rPr>
        <w:t>L</w:t>
      </w:r>
      <w:r w:rsidRPr="00337E3A">
        <w:rPr>
          <w:rFonts w:ascii="Georgia" w:hAnsi="Georgia"/>
        </w:rPr>
        <w:t>a nozione di “</w:t>
      </w:r>
      <w:r w:rsidRPr="00337E3A">
        <w:rPr>
          <w:rFonts w:ascii="Georgia" w:hAnsi="Georgia"/>
          <w:b/>
        </w:rPr>
        <w:t>energia verde</w:t>
      </w:r>
      <w:r w:rsidRPr="00337E3A">
        <w:rPr>
          <w:rFonts w:ascii="Georgia" w:hAnsi="Georgia"/>
        </w:rPr>
        <w:t>” (definita come l’elettricità o il calore generati, nel limite di 5 megawatt, da fonti rinnovabili o comunque idonee a produrre bassi livelli di emissione nell’atmosfera)</w:t>
      </w:r>
      <w:r>
        <w:rPr>
          <w:rFonts w:ascii="Georgia" w:hAnsi="Georgia"/>
        </w:rPr>
        <w:t xml:space="preserve"> era peraltro già stata introdotta c</w:t>
      </w:r>
      <w:r w:rsidR="001C47E3" w:rsidRPr="00337E3A">
        <w:rPr>
          <w:rFonts w:ascii="Georgia" w:hAnsi="Georgia"/>
        </w:rPr>
        <w:t xml:space="preserve">on il </w:t>
      </w:r>
      <w:hyperlink r:id="rId21" w:history="1">
        <w:r w:rsidR="001C47E3" w:rsidRPr="00337E3A">
          <w:rPr>
            <w:rStyle w:val="Collegamentoipertestuale"/>
            <w:rFonts w:ascii="Georgia" w:hAnsi="Georgia"/>
            <w:i/>
          </w:rPr>
          <w:t xml:space="preserve">Green Energy (Definition and Promotion) </w:t>
        </w:r>
        <w:proofErr w:type="spellStart"/>
        <w:r w:rsidR="001C47E3" w:rsidRPr="00337E3A">
          <w:rPr>
            <w:rStyle w:val="Collegamentoipertestuale"/>
            <w:rFonts w:ascii="Georgia" w:hAnsi="Georgia"/>
            <w:i/>
          </w:rPr>
          <w:t>Act</w:t>
        </w:r>
        <w:proofErr w:type="spellEnd"/>
        <w:r w:rsidR="001C47E3" w:rsidRPr="00337E3A">
          <w:rPr>
            <w:rStyle w:val="Collegamentoipertestuale"/>
            <w:rFonts w:ascii="Georgia" w:hAnsi="Georgia"/>
            <w:i/>
          </w:rPr>
          <w:t xml:space="preserve"> 2009</w:t>
        </w:r>
      </w:hyperlink>
      <w:r w:rsidR="001C47E3" w:rsidRPr="00337E3A">
        <w:rPr>
          <w:rFonts w:ascii="Georgia" w:hAnsi="Georgia"/>
        </w:rPr>
        <w:t xml:space="preserve">, </w:t>
      </w:r>
      <w:r>
        <w:rPr>
          <w:rFonts w:ascii="Georgia" w:hAnsi="Georgia"/>
        </w:rPr>
        <w:t>approvato sotto l’Esecutivo laburista</w:t>
      </w:r>
      <w:r w:rsidR="004F6982">
        <w:rPr>
          <w:rFonts w:ascii="Georgia" w:hAnsi="Georgia"/>
        </w:rPr>
        <w:t>, che</w:t>
      </w:r>
      <w:r w:rsidR="001C47E3" w:rsidRPr="00337E3A">
        <w:rPr>
          <w:rFonts w:ascii="Georgia" w:hAnsi="Georgia"/>
        </w:rPr>
        <w:t xml:space="preserve"> aggiorna</w:t>
      </w:r>
      <w:r>
        <w:rPr>
          <w:rFonts w:ascii="Georgia" w:hAnsi="Georgia"/>
        </w:rPr>
        <w:t>va in tal modo</w:t>
      </w:r>
      <w:r w:rsidR="001C47E3" w:rsidRPr="00337E3A">
        <w:rPr>
          <w:rFonts w:ascii="Georgia" w:hAnsi="Georgia"/>
        </w:rPr>
        <w:t xml:space="preserve"> il quadro normativo concernente le energie alternative, devolvendo alla normativa secondaria le modifiche della legislazione urbanistica necessarie a consentire l’installazione di impianti di </w:t>
      </w:r>
      <w:proofErr w:type="spellStart"/>
      <w:r w:rsidR="001C47E3" w:rsidRPr="00337E3A">
        <w:rPr>
          <w:rFonts w:ascii="Georgia" w:hAnsi="Georgia"/>
        </w:rPr>
        <w:t>microgenerazione</w:t>
      </w:r>
      <w:proofErr w:type="spellEnd"/>
      <w:r w:rsidR="001C47E3" w:rsidRPr="00337E3A">
        <w:rPr>
          <w:rFonts w:ascii="Georgia" w:hAnsi="Georgia"/>
          <w:b/>
        </w:rPr>
        <w:t xml:space="preserve"> </w:t>
      </w:r>
      <w:r w:rsidR="001C47E3" w:rsidRPr="00337E3A">
        <w:rPr>
          <w:rFonts w:ascii="Georgia" w:hAnsi="Georgia"/>
        </w:rPr>
        <w:t xml:space="preserve">sia nelle aree residenziali che sui fondi a destinazione agricola. </w:t>
      </w:r>
    </w:p>
    <w:p w:rsidR="001C47E3" w:rsidRPr="00337E3A" w:rsidRDefault="004F6982" w:rsidP="001C47E3">
      <w:pPr>
        <w:spacing w:after="120"/>
        <w:ind w:firstLine="357"/>
        <w:jc w:val="both"/>
        <w:rPr>
          <w:rFonts w:ascii="Georgia" w:hAnsi="Georgia"/>
        </w:rPr>
      </w:pPr>
      <w:r>
        <w:rPr>
          <w:rFonts w:ascii="Georgia" w:hAnsi="Georgia"/>
        </w:rPr>
        <w:t xml:space="preserve">Va infatti evidenziato come le misure del primo governo Cameron, </w:t>
      </w:r>
      <w:r w:rsidR="001C47E3" w:rsidRPr="00337E3A">
        <w:rPr>
          <w:rFonts w:ascii="Georgia" w:hAnsi="Georgia"/>
        </w:rPr>
        <w:t>nelle linee fondamentali</w:t>
      </w:r>
      <w:r>
        <w:rPr>
          <w:rFonts w:ascii="Georgia" w:hAnsi="Georgia"/>
        </w:rPr>
        <w:t>,</w:t>
      </w:r>
      <w:r w:rsidR="001C47E3" w:rsidRPr="00337E3A">
        <w:rPr>
          <w:rFonts w:ascii="Georgia" w:hAnsi="Georgia"/>
        </w:rPr>
        <w:t xml:space="preserve"> si s</w:t>
      </w:r>
      <w:r>
        <w:rPr>
          <w:rFonts w:ascii="Georgia" w:hAnsi="Georgia"/>
        </w:rPr>
        <w:t>ia</w:t>
      </w:r>
      <w:r w:rsidR="001C47E3" w:rsidRPr="00337E3A">
        <w:rPr>
          <w:rFonts w:ascii="Georgia" w:hAnsi="Georgia"/>
        </w:rPr>
        <w:t xml:space="preserve">no mantenute coerenti </w:t>
      </w:r>
      <w:r>
        <w:rPr>
          <w:rFonts w:ascii="Georgia" w:hAnsi="Georgia"/>
        </w:rPr>
        <w:t xml:space="preserve">non solo con la succitata legge del 2009, ma anche </w:t>
      </w:r>
      <w:r w:rsidR="001C47E3" w:rsidRPr="00337E3A">
        <w:rPr>
          <w:rFonts w:ascii="Georgia" w:hAnsi="Georgia"/>
        </w:rPr>
        <w:t xml:space="preserve">con </w:t>
      </w:r>
      <w:r>
        <w:rPr>
          <w:rFonts w:ascii="Georgia" w:hAnsi="Georgia"/>
        </w:rPr>
        <w:t>altre</w:t>
      </w:r>
      <w:r w:rsidR="00E86E28">
        <w:rPr>
          <w:rFonts w:ascii="Georgia" w:hAnsi="Georgia"/>
        </w:rPr>
        <w:t xml:space="preserve"> precedenti </w:t>
      </w:r>
      <w:r w:rsidR="001C47E3" w:rsidRPr="00337E3A">
        <w:rPr>
          <w:rFonts w:ascii="Georgia" w:hAnsi="Georgia"/>
        </w:rPr>
        <w:t>iniziative</w:t>
      </w:r>
      <w:r w:rsidR="00E86E28">
        <w:rPr>
          <w:rFonts w:ascii="Georgia" w:hAnsi="Georgia"/>
        </w:rPr>
        <w:t xml:space="preserve"> a</w:t>
      </w:r>
      <w:r w:rsidR="001C47E3" w:rsidRPr="00337E3A">
        <w:rPr>
          <w:rFonts w:ascii="Georgia" w:hAnsi="Georgia"/>
        </w:rPr>
        <w:t xml:space="preserve">dottate dal Governo </w:t>
      </w:r>
      <w:r w:rsidR="001C47E3" w:rsidRPr="00337E3A">
        <w:rPr>
          <w:rFonts w:ascii="Georgia" w:hAnsi="Georgia"/>
        </w:rPr>
        <w:lastRenderedPageBreak/>
        <w:t xml:space="preserve">laburista, che nel </w:t>
      </w:r>
      <w:r w:rsidR="001C47E3" w:rsidRPr="00337E3A">
        <w:rPr>
          <w:rFonts w:ascii="Georgia" w:hAnsi="Georgia"/>
          <w:b/>
        </w:rPr>
        <w:t>2010</w:t>
      </w:r>
      <w:r w:rsidR="001C47E3" w:rsidRPr="00337E3A">
        <w:rPr>
          <w:rFonts w:ascii="Georgia" w:hAnsi="Georgia"/>
        </w:rPr>
        <w:t xml:space="preserve"> aveva collegato i profili dell’</w:t>
      </w:r>
      <w:r w:rsidR="001C47E3" w:rsidRPr="00337E3A">
        <w:rPr>
          <w:rFonts w:ascii="Georgia" w:hAnsi="Georgia"/>
          <w:b/>
        </w:rPr>
        <w:t xml:space="preserve">energia </w:t>
      </w:r>
      <w:r w:rsidR="001C47E3" w:rsidRPr="00337E3A">
        <w:rPr>
          <w:rFonts w:ascii="Georgia" w:hAnsi="Georgia"/>
        </w:rPr>
        <w:t>e della</w:t>
      </w:r>
      <w:r w:rsidR="001C47E3" w:rsidRPr="00337E3A">
        <w:rPr>
          <w:rFonts w:ascii="Georgia" w:hAnsi="Georgia"/>
          <w:b/>
        </w:rPr>
        <w:t xml:space="preserve"> tutela del patrimonio ambientale </w:t>
      </w:r>
      <w:r w:rsidR="001C47E3" w:rsidRPr="00337E3A">
        <w:rPr>
          <w:rFonts w:ascii="Georgia" w:hAnsi="Georgia"/>
        </w:rPr>
        <w:t>nella disciplina dettata con l’</w:t>
      </w:r>
      <w:hyperlink r:id="rId22" w:history="1">
        <w:r w:rsidR="001C47E3" w:rsidRPr="00337E3A">
          <w:rPr>
            <w:rStyle w:val="Collegamentoipertestuale"/>
            <w:rFonts w:ascii="Georgia" w:hAnsi="Georgia"/>
            <w:i/>
          </w:rPr>
          <w:t xml:space="preserve">Energy </w:t>
        </w:r>
        <w:proofErr w:type="spellStart"/>
        <w:r w:rsidR="001C47E3" w:rsidRPr="00337E3A">
          <w:rPr>
            <w:rStyle w:val="Collegamentoipertestuale"/>
            <w:rFonts w:ascii="Georgia" w:hAnsi="Georgia"/>
            <w:i/>
          </w:rPr>
          <w:t>Act</w:t>
        </w:r>
        <w:proofErr w:type="spellEnd"/>
        <w:r w:rsidR="001C47E3" w:rsidRPr="00337E3A">
          <w:rPr>
            <w:rStyle w:val="Collegamentoipertestuale"/>
            <w:rFonts w:ascii="Georgia" w:hAnsi="Georgia"/>
            <w:i/>
          </w:rPr>
          <w:t xml:space="preserve"> 2010</w:t>
        </w:r>
      </w:hyperlink>
      <w:r w:rsidR="001C47E3" w:rsidRPr="00337E3A">
        <w:rPr>
          <w:rFonts w:ascii="Georgia" w:hAnsi="Georgia"/>
        </w:rPr>
        <w:t xml:space="preserve">. </w:t>
      </w:r>
      <w:r w:rsidR="00E86E28">
        <w:rPr>
          <w:rFonts w:ascii="Georgia" w:hAnsi="Georgia"/>
        </w:rPr>
        <w:t xml:space="preserve">Tale </w:t>
      </w:r>
      <w:r w:rsidR="001C47E3" w:rsidRPr="00337E3A">
        <w:rPr>
          <w:rFonts w:ascii="Georgia" w:hAnsi="Georgia"/>
        </w:rPr>
        <w:t>legge da</w:t>
      </w:r>
      <w:r w:rsidR="00E86E28">
        <w:rPr>
          <w:rFonts w:ascii="Georgia" w:hAnsi="Georgia"/>
        </w:rPr>
        <w:t>va</w:t>
      </w:r>
      <w:r w:rsidR="001C47E3" w:rsidRPr="00337E3A">
        <w:rPr>
          <w:rFonts w:ascii="Georgia" w:hAnsi="Georgia"/>
        </w:rPr>
        <w:t xml:space="preserve"> attuazione agli indirizzi adottati dal Governo in ordine alla programmata riduzione delle emissioni di CO2 nella misura del 18% entro il 2020, e introd</w:t>
      </w:r>
      <w:r w:rsidR="00C36EB9">
        <w:rPr>
          <w:rFonts w:ascii="Georgia" w:hAnsi="Georgia"/>
        </w:rPr>
        <w:t>uceva</w:t>
      </w:r>
      <w:r w:rsidR="001C47E3" w:rsidRPr="00337E3A">
        <w:rPr>
          <w:rFonts w:ascii="Georgia" w:hAnsi="Georgia"/>
        </w:rPr>
        <w:t xml:space="preserve"> un quadro di incentivi finanziari per lo sviluppo commerciale delle attività di raccolta e stoccaggio geologico di CO2 (</w:t>
      </w:r>
      <w:r w:rsidR="001C47E3" w:rsidRPr="00337E3A">
        <w:rPr>
          <w:rFonts w:ascii="Georgia" w:hAnsi="Georgia"/>
          <w:i/>
        </w:rPr>
        <w:t xml:space="preserve">carbon </w:t>
      </w:r>
      <w:proofErr w:type="spellStart"/>
      <w:r w:rsidR="001C47E3" w:rsidRPr="00337E3A">
        <w:rPr>
          <w:rFonts w:ascii="Georgia" w:hAnsi="Georgia"/>
          <w:i/>
        </w:rPr>
        <w:t>capture</w:t>
      </w:r>
      <w:proofErr w:type="spellEnd"/>
      <w:r w:rsidR="001C47E3" w:rsidRPr="00337E3A">
        <w:rPr>
          <w:rFonts w:ascii="Georgia" w:hAnsi="Georgia"/>
        </w:rPr>
        <w:t>), prevedendo forme di sostegno per i casi di disagio sociale determinati da penuria energetica (anche mediante l’introduzione di sussidi e tariffe agevolate per il riscaldamento domestico). Infine, la legge del 2010 persegui</w:t>
      </w:r>
      <w:r w:rsidR="00C36EB9">
        <w:rPr>
          <w:rFonts w:ascii="Georgia" w:hAnsi="Georgia"/>
        </w:rPr>
        <w:t>va</w:t>
      </w:r>
      <w:r w:rsidR="001C47E3" w:rsidRPr="00337E3A">
        <w:rPr>
          <w:rFonts w:ascii="Georgia" w:hAnsi="Georgia"/>
        </w:rPr>
        <w:t xml:space="preserve"> il rafforzamento dei poteri pubblici di regolazione energetica, affinché il corretto funzionamento del relativo mercato po</w:t>
      </w:r>
      <w:r w:rsidR="00C36EB9">
        <w:rPr>
          <w:rFonts w:ascii="Georgia" w:hAnsi="Georgia"/>
        </w:rPr>
        <w:t>te</w:t>
      </w:r>
      <w:r w:rsidR="001C47E3" w:rsidRPr="00337E3A">
        <w:rPr>
          <w:rFonts w:ascii="Georgia" w:hAnsi="Georgia"/>
        </w:rPr>
        <w:t>ss</w:t>
      </w:r>
      <w:r w:rsidR="00C36EB9">
        <w:rPr>
          <w:rFonts w:ascii="Georgia" w:hAnsi="Georgia"/>
        </w:rPr>
        <w:t>e</w:t>
      </w:r>
      <w:r w:rsidR="001C47E3" w:rsidRPr="00337E3A">
        <w:rPr>
          <w:rFonts w:ascii="Georgia" w:hAnsi="Georgia"/>
        </w:rPr>
        <w:t xml:space="preserve"> giovare ai consumatori e assicurare la disponibilità di risorse di energia sicure e conformi al principio di sostenibilità ambientale. </w:t>
      </w:r>
    </w:p>
    <w:p w:rsidR="001C47E3" w:rsidRPr="00337E3A" w:rsidRDefault="001C47E3" w:rsidP="001C47E3">
      <w:pPr>
        <w:spacing w:after="120"/>
        <w:ind w:firstLine="357"/>
        <w:jc w:val="both"/>
        <w:rPr>
          <w:rFonts w:ascii="Georgia" w:hAnsi="Georgia"/>
        </w:rPr>
      </w:pPr>
      <w:r w:rsidRPr="00337E3A">
        <w:rPr>
          <w:rFonts w:ascii="Georgia" w:hAnsi="Georgia"/>
        </w:rPr>
        <w:t xml:space="preserve">Gli obiettivi di </w:t>
      </w:r>
      <w:r w:rsidRPr="00337E3A">
        <w:rPr>
          <w:rFonts w:ascii="Georgia" w:hAnsi="Georgia"/>
          <w:b/>
        </w:rPr>
        <w:t>riduzione delle emissioni</w:t>
      </w:r>
      <w:r w:rsidRPr="00337E3A">
        <w:rPr>
          <w:rFonts w:ascii="Georgia" w:hAnsi="Georgia"/>
        </w:rPr>
        <w:t xml:space="preserve"> (in conformità agli impegni assunti dal Regno Unito in sede internazionale)</w:t>
      </w:r>
      <w:r w:rsidR="00C36EB9">
        <w:rPr>
          <w:rFonts w:ascii="Georgia" w:hAnsi="Georgia"/>
        </w:rPr>
        <w:t xml:space="preserve"> </w:t>
      </w:r>
      <w:r w:rsidR="004F6982">
        <w:rPr>
          <w:rFonts w:ascii="Georgia" w:hAnsi="Georgia"/>
        </w:rPr>
        <w:t>aveva</w:t>
      </w:r>
      <w:r w:rsidR="00C36EB9">
        <w:rPr>
          <w:rFonts w:ascii="Georgia" w:hAnsi="Georgia"/>
        </w:rPr>
        <w:t xml:space="preserve">no </w:t>
      </w:r>
      <w:r w:rsidR="004F6982">
        <w:rPr>
          <w:rFonts w:ascii="Georgia" w:hAnsi="Georgia"/>
        </w:rPr>
        <w:t xml:space="preserve">trovato </w:t>
      </w:r>
      <w:r w:rsidR="00C36EB9">
        <w:rPr>
          <w:rFonts w:ascii="Georgia" w:hAnsi="Georgia"/>
        </w:rPr>
        <w:t>fonte,</w:t>
      </w:r>
      <w:r w:rsidRPr="00337E3A">
        <w:rPr>
          <w:rFonts w:ascii="Georgia" w:hAnsi="Georgia"/>
        </w:rPr>
        <w:t xml:space="preserve"> a loro volta</w:t>
      </w:r>
      <w:r w:rsidR="00C36EB9">
        <w:rPr>
          <w:rFonts w:ascii="Georgia" w:hAnsi="Georgia"/>
        </w:rPr>
        <w:t>,</w:t>
      </w:r>
      <w:r w:rsidRPr="00337E3A">
        <w:rPr>
          <w:rFonts w:ascii="Georgia" w:hAnsi="Georgia"/>
        </w:rPr>
        <w:t xml:space="preserve"> nelle previsioni del </w:t>
      </w:r>
      <w:hyperlink r:id="rId23" w:history="1">
        <w:proofErr w:type="spellStart"/>
        <w:r w:rsidRPr="00337E3A">
          <w:rPr>
            <w:rStyle w:val="Collegamentoipertestuale"/>
            <w:rFonts w:ascii="Georgia" w:hAnsi="Georgia"/>
            <w:i/>
          </w:rPr>
          <w:t>Climate</w:t>
        </w:r>
        <w:proofErr w:type="spellEnd"/>
        <w:r w:rsidRPr="00337E3A">
          <w:rPr>
            <w:rStyle w:val="Collegamentoipertestuale"/>
            <w:rFonts w:ascii="Georgia" w:hAnsi="Georgia"/>
            <w:i/>
          </w:rPr>
          <w:t xml:space="preserve"> </w:t>
        </w:r>
        <w:proofErr w:type="spellStart"/>
        <w:r w:rsidRPr="00337E3A">
          <w:rPr>
            <w:rStyle w:val="Collegamentoipertestuale"/>
            <w:rFonts w:ascii="Georgia" w:hAnsi="Georgia"/>
            <w:i/>
          </w:rPr>
          <w:t>Change</w:t>
        </w:r>
        <w:proofErr w:type="spellEnd"/>
        <w:r w:rsidRPr="00337E3A">
          <w:rPr>
            <w:rStyle w:val="Collegamentoipertestuale"/>
            <w:rFonts w:ascii="Georgia" w:hAnsi="Georgia"/>
            <w:i/>
          </w:rPr>
          <w:t xml:space="preserve"> </w:t>
        </w:r>
        <w:proofErr w:type="spellStart"/>
        <w:r w:rsidRPr="00337E3A">
          <w:rPr>
            <w:rStyle w:val="Collegamentoipertestuale"/>
            <w:rFonts w:ascii="Georgia" w:hAnsi="Georgia"/>
            <w:i/>
          </w:rPr>
          <w:t>Act</w:t>
        </w:r>
        <w:proofErr w:type="spellEnd"/>
        <w:r w:rsidRPr="00337E3A">
          <w:rPr>
            <w:rStyle w:val="Collegamentoipertestuale"/>
            <w:rFonts w:ascii="Georgia" w:hAnsi="Georgia"/>
            <w:i/>
          </w:rPr>
          <w:t xml:space="preserve"> 2008</w:t>
        </w:r>
      </w:hyperlink>
      <w:r w:rsidRPr="00337E3A">
        <w:rPr>
          <w:rFonts w:ascii="Georgia" w:hAnsi="Georgia"/>
        </w:rPr>
        <w:t>, che fissa</w:t>
      </w:r>
      <w:r w:rsidR="004F6982">
        <w:rPr>
          <w:rFonts w:ascii="Georgia" w:hAnsi="Georgia"/>
        </w:rPr>
        <w:t>va</w:t>
      </w:r>
      <w:r w:rsidRPr="00337E3A">
        <w:rPr>
          <w:rFonts w:ascii="Georgia" w:hAnsi="Georgia"/>
        </w:rPr>
        <w:t xml:space="preserve"> al 2050 il raggiungimento di una complessiva riduzione delle emissioni nella misura dell’80% dei livelli registrati nel 1990, prevedendo altresì limiti intermedi riferiti a periodi di durata quinquennale (cosiddetti </w:t>
      </w:r>
      <w:r w:rsidRPr="00337E3A">
        <w:rPr>
          <w:rFonts w:ascii="Georgia" w:hAnsi="Georgia"/>
          <w:i/>
        </w:rPr>
        <w:t xml:space="preserve">carbon </w:t>
      </w:r>
      <w:proofErr w:type="spellStart"/>
      <w:r w:rsidRPr="00337E3A">
        <w:rPr>
          <w:rFonts w:ascii="Georgia" w:hAnsi="Georgia"/>
          <w:i/>
        </w:rPr>
        <w:t>budgets</w:t>
      </w:r>
      <w:proofErr w:type="spellEnd"/>
      <w:r w:rsidRPr="00337E3A">
        <w:rPr>
          <w:rFonts w:ascii="Georgia" w:hAnsi="Georgia"/>
        </w:rPr>
        <w:t>, per ora programmati fino al 2032)</w:t>
      </w:r>
      <w:r w:rsidRPr="00337E3A">
        <w:rPr>
          <w:rStyle w:val="Rimandonotaapidipagina"/>
          <w:rFonts w:ascii="Georgia" w:hAnsi="Georgia"/>
        </w:rPr>
        <w:footnoteReference w:id="6"/>
      </w:r>
      <w:r w:rsidRPr="00337E3A">
        <w:rPr>
          <w:rFonts w:ascii="Georgia" w:hAnsi="Georgia"/>
        </w:rPr>
        <w:t xml:space="preserve">. </w:t>
      </w:r>
    </w:p>
    <w:p w:rsidR="001C47E3" w:rsidRPr="00337E3A" w:rsidRDefault="001C47E3" w:rsidP="001C47E3">
      <w:pPr>
        <w:spacing w:after="120"/>
        <w:ind w:firstLine="357"/>
        <w:jc w:val="both"/>
        <w:rPr>
          <w:rFonts w:ascii="Georgia" w:hAnsi="Georgia"/>
        </w:rPr>
      </w:pPr>
      <w:r w:rsidRPr="00337E3A">
        <w:rPr>
          <w:rFonts w:ascii="Georgia" w:hAnsi="Georgia"/>
        </w:rPr>
        <w:t xml:space="preserve">L’obiettivo della transizione del Regno Unito ad un sistema energetico sicuro, economico e a </w:t>
      </w:r>
      <w:r w:rsidRPr="00337E3A">
        <w:rPr>
          <w:rFonts w:ascii="Georgia" w:hAnsi="Georgia"/>
          <w:b/>
        </w:rPr>
        <w:t>basso impatto ambientale</w:t>
      </w:r>
      <w:r w:rsidRPr="00337E3A">
        <w:rPr>
          <w:rFonts w:ascii="Georgia" w:hAnsi="Georgia"/>
        </w:rPr>
        <w:t xml:space="preserve"> </w:t>
      </w:r>
      <w:r w:rsidR="004F6982">
        <w:rPr>
          <w:rFonts w:ascii="Georgia" w:hAnsi="Georgia"/>
        </w:rPr>
        <w:t>è</w:t>
      </w:r>
      <w:r w:rsidRPr="00337E3A">
        <w:rPr>
          <w:rFonts w:ascii="Georgia" w:hAnsi="Georgia"/>
        </w:rPr>
        <w:t xml:space="preserve"> stato quindi perseguito</w:t>
      </w:r>
      <w:r w:rsidR="004F6982">
        <w:rPr>
          <w:rFonts w:ascii="Georgia" w:hAnsi="Georgia"/>
        </w:rPr>
        <w:t>, circa un anno e mezzo dopo l’insediamento della coalizione di governo liberal-conservatrice,</w:t>
      </w:r>
      <w:r w:rsidRPr="00337E3A">
        <w:rPr>
          <w:rFonts w:ascii="Georgia" w:hAnsi="Georgia"/>
        </w:rPr>
        <w:t xml:space="preserve"> con l’</w:t>
      </w:r>
      <w:hyperlink r:id="rId24" w:history="1">
        <w:r w:rsidRPr="00337E3A">
          <w:rPr>
            <w:rStyle w:val="Collegamentoipertestuale"/>
            <w:rFonts w:ascii="Georgia" w:hAnsi="Georgia"/>
            <w:i/>
          </w:rPr>
          <w:t xml:space="preserve">Energy </w:t>
        </w:r>
        <w:proofErr w:type="spellStart"/>
        <w:r w:rsidRPr="00337E3A">
          <w:rPr>
            <w:rStyle w:val="Collegamentoipertestuale"/>
            <w:rFonts w:ascii="Georgia" w:hAnsi="Georgia"/>
            <w:i/>
          </w:rPr>
          <w:t>Act</w:t>
        </w:r>
        <w:proofErr w:type="spellEnd"/>
        <w:r w:rsidRPr="00337E3A">
          <w:rPr>
            <w:rStyle w:val="Collegamentoipertestuale"/>
            <w:rFonts w:ascii="Georgia" w:hAnsi="Georgia"/>
            <w:i/>
          </w:rPr>
          <w:t xml:space="preserve"> 2011</w:t>
        </w:r>
      </w:hyperlink>
      <w:r w:rsidRPr="00337E3A">
        <w:rPr>
          <w:rFonts w:ascii="Georgia" w:hAnsi="Georgia"/>
        </w:rPr>
        <w:t>, le cui previsioni hanno introdotto una serie di misure il cui denominatore comune è la promozione dell’</w:t>
      </w:r>
      <w:r w:rsidRPr="00337E3A">
        <w:rPr>
          <w:rFonts w:ascii="Georgia" w:hAnsi="Georgia"/>
          <w:b/>
        </w:rPr>
        <w:t>efficienza energetica</w:t>
      </w:r>
      <w:r w:rsidRPr="00337E3A">
        <w:rPr>
          <w:rFonts w:ascii="Georgia" w:hAnsi="Georgia"/>
        </w:rPr>
        <w:t xml:space="preserve">, nel contesto dei vincoli posti dai criteri di sostenibilità ambientale. Ciò, con riferimento a tre principali ambiti di intervento: l’incentivazione degli interventi diretti all’efficienza energetica; la promozione della sicurezza e dell’affidabilità delle fonti di energia; la promozione degli investimenti privati riferiti alle fonti energetiche a basso impatto emissivo di CO2. </w:t>
      </w:r>
    </w:p>
    <w:p w:rsidR="001C47E3" w:rsidRPr="00337E3A" w:rsidRDefault="001C47E3" w:rsidP="001C47E3">
      <w:pPr>
        <w:spacing w:after="120"/>
        <w:ind w:firstLine="357"/>
        <w:jc w:val="both"/>
        <w:rPr>
          <w:rFonts w:ascii="Georgia" w:hAnsi="Georgia"/>
        </w:rPr>
      </w:pPr>
      <w:r w:rsidRPr="00337E3A">
        <w:rPr>
          <w:rFonts w:ascii="Georgia" w:hAnsi="Georgia"/>
        </w:rPr>
        <w:t>Nel 2013, infine, il legislatore (in attuazione del programma di governo della coalizione liberal-conservatrice) ha ulteriormente precisato (con l’</w:t>
      </w:r>
      <w:hyperlink r:id="rId25" w:history="1">
        <w:r w:rsidRPr="00337E3A">
          <w:rPr>
            <w:rStyle w:val="Collegamentoipertestuale"/>
            <w:rFonts w:ascii="Georgia" w:hAnsi="Georgia"/>
            <w:i/>
          </w:rPr>
          <w:t xml:space="preserve">Energy </w:t>
        </w:r>
        <w:proofErr w:type="spellStart"/>
        <w:r w:rsidRPr="00337E3A">
          <w:rPr>
            <w:rStyle w:val="Collegamentoipertestuale"/>
            <w:rFonts w:ascii="Georgia" w:hAnsi="Georgia"/>
            <w:i/>
          </w:rPr>
          <w:t>Act</w:t>
        </w:r>
        <w:proofErr w:type="spellEnd"/>
        <w:r w:rsidRPr="00337E3A">
          <w:rPr>
            <w:rStyle w:val="Collegamentoipertestuale"/>
            <w:rFonts w:ascii="Georgia" w:hAnsi="Georgia"/>
            <w:i/>
          </w:rPr>
          <w:t xml:space="preserve"> 2013</w:t>
        </w:r>
      </w:hyperlink>
      <w:r w:rsidRPr="00337E3A">
        <w:rPr>
          <w:rFonts w:ascii="Georgia" w:hAnsi="Georgia"/>
        </w:rPr>
        <w:t>) gli obiettivi di graduale riduzione delle emissioni (</w:t>
      </w:r>
      <w:proofErr w:type="spellStart"/>
      <w:r w:rsidRPr="00337E3A">
        <w:rPr>
          <w:rFonts w:ascii="Georgia" w:hAnsi="Georgia"/>
          <w:i/>
        </w:rPr>
        <w:t>decarbonisation</w:t>
      </w:r>
      <w:proofErr w:type="spellEnd"/>
      <w:r w:rsidRPr="00337E3A">
        <w:rPr>
          <w:rFonts w:ascii="Georgia" w:hAnsi="Georgia"/>
        </w:rPr>
        <w:t>) e la relativa periodizzazione, e ha introdotto misure di riforma del mercato dell’</w:t>
      </w:r>
      <w:r w:rsidRPr="00337E3A">
        <w:rPr>
          <w:rFonts w:ascii="Georgia" w:hAnsi="Georgia"/>
          <w:b/>
        </w:rPr>
        <w:t>energia elettrica</w:t>
      </w:r>
      <w:r w:rsidRPr="00337E3A">
        <w:rPr>
          <w:rFonts w:ascii="Georgia" w:hAnsi="Georgia"/>
        </w:rPr>
        <w:t xml:space="preserve">. Tra queste, viene in rilievo la previsione di </w:t>
      </w:r>
      <w:r w:rsidRPr="00337E3A">
        <w:rPr>
          <w:rFonts w:ascii="Georgia" w:hAnsi="Georgia"/>
          <w:b/>
        </w:rPr>
        <w:t>strumenti contrattuali</w:t>
      </w:r>
      <w:r w:rsidRPr="00337E3A">
        <w:rPr>
          <w:rFonts w:ascii="Georgia" w:hAnsi="Georgia"/>
        </w:rPr>
        <w:t xml:space="preserve"> idonei ad incentivare gli investimenti privati nel settore della produzione dell’energia elettrica con abbattimento dei livelli di emissioni (</w:t>
      </w:r>
      <w:proofErr w:type="spellStart"/>
      <w:r w:rsidRPr="00337E3A">
        <w:rPr>
          <w:rFonts w:ascii="Georgia" w:hAnsi="Georgia"/>
          <w:i/>
        </w:rPr>
        <w:t>low</w:t>
      </w:r>
      <w:proofErr w:type="spellEnd"/>
      <w:r w:rsidRPr="00337E3A">
        <w:rPr>
          <w:rFonts w:ascii="Georgia" w:hAnsi="Georgia"/>
          <w:i/>
        </w:rPr>
        <w:t xml:space="preserve"> carbon </w:t>
      </w:r>
      <w:proofErr w:type="spellStart"/>
      <w:r w:rsidRPr="00337E3A">
        <w:rPr>
          <w:rFonts w:ascii="Georgia" w:hAnsi="Georgia"/>
          <w:i/>
        </w:rPr>
        <w:t>electricity</w:t>
      </w:r>
      <w:proofErr w:type="spellEnd"/>
      <w:r w:rsidRPr="00337E3A">
        <w:rPr>
          <w:rFonts w:ascii="Georgia" w:hAnsi="Georgia"/>
          <w:i/>
        </w:rPr>
        <w:t xml:space="preserve"> generation</w:t>
      </w:r>
      <w:r w:rsidRPr="00337E3A">
        <w:rPr>
          <w:rFonts w:ascii="Georgia" w:hAnsi="Georgia"/>
        </w:rPr>
        <w:t xml:space="preserve">), in virtù di meccanismi di compensazione della loro limitata </w:t>
      </w:r>
      <w:proofErr w:type="spellStart"/>
      <w:r w:rsidRPr="00337E3A">
        <w:rPr>
          <w:rFonts w:ascii="Georgia" w:hAnsi="Georgia"/>
        </w:rPr>
        <w:t>remuneratività</w:t>
      </w:r>
      <w:proofErr w:type="spellEnd"/>
      <w:r w:rsidRPr="00337E3A">
        <w:rPr>
          <w:rFonts w:ascii="Georgia" w:hAnsi="Georgia"/>
        </w:rPr>
        <w:t xml:space="preserve"> iniziale: il riferimento è, in particolare, al cosiddetto </w:t>
      </w:r>
      <w:proofErr w:type="spellStart"/>
      <w:r w:rsidRPr="00337E3A">
        <w:rPr>
          <w:rFonts w:ascii="Georgia" w:hAnsi="Georgia"/>
          <w:i/>
        </w:rPr>
        <w:t>contract</w:t>
      </w:r>
      <w:proofErr w:type="spellEnd"/>
      <w:r w:rsidRPr="00337E3A">
        <w:rPr>
          <w:rFonts w:ascii="Georgia" w:hAnsi="Georgia"/>
          <w:i/>
        </w:rPr>
        <w:t xml:space="preserve"> for </w:t>
      </w:r>
      <w:proofErr w:type="spellStart"/>
      <w:r w:rsidRPr="00337E3A">
        <w:rPr>
          <w:rFonts w:ascii="Georgia" w:hAnsi="Georgia"/>
          <w:i/>
        </w:rPr>
        <w:t>difference</w:t>
      </w:r>
      <w:proofErr w:type="spellEnd"/>
      <w:r w:rsidRPr="00337E3A">
        <w:rPr>
          <w:rFonts w:ascii="Georgia" w:hAnsi="Georgia"/>
        </w:rPr>
        <w:t xml:space="preserve"> (CFD), formula che intende assicurare all’investitore uno stabile e prevedibile ritorno economico mediante la stipula di accordi a lungo termine. Il legislatore del 2013 si è altresì preoccupato di mitigare i rischi per la continuità e la </w:t>
      </w:r>
      <w:r w:rsidRPr="00337E3A">
        <w:rPr>
          <w:rFonts w:ascii="Georgia" w:hAnsi="Georgia"/>
          <w:b/>
        </w:rPr>
        <w:t xml:space="preserve">sicurezza degli approvvigionamenti </w:t>
      </w:r>
      <w:r w:rsidRPr="00337E3A">
        <w:rPr>
          <w:rFonts w:ascii="Georgia" w:hAnsi="Georgia"/>
          <w:b/>
        </w:rPr>
        <w:lastRenderedPageBreak/>
        <w:t>energetici</w:t>
      </w:r>
      <w:r w:rsidRPr="00337E3A">
        <w:rPr>
          <w:rFonts w:ascii="Georgia" w:hAnsi="Georgia"/>
        </w:rPr>
        <w:t xml:space="preserve">, e ha tal fine istituito il </w:t>
      </w:r>
      <w:proofErr w:type="spellStart"/>
      <w:r w:rsidRPr="00337E3A">
        <w:rPr>
          <w:rFonts w:ascii="Georgia" w:hAnsi="Georgia"/>
          <w:i/>
        </w:rPr>
        <w:t>Capacity</w:t>
      </w:r>
      <w:proofErr w:type="spellEnd"/>
      <w:r w:rsidRPr="00337E3A">
        <w:rPr>
          <w:rFonts w:ascii="Georgia" w:hAnsi="Georgia"/>
          <w:i/>
        </w:rPr>
        <w:t xml:space="preserve"> Market</w:t>
      </w:r>
      <w:r w:rsidRPr="00337E3A">
        <w:rPr>
          <w:rFonts w:ascii="Georgia" w:hAnsi="Georgia"/>
        </w:rPr>
        <w:t xml:space="preserve"> (</w:t>
      </w:r>
      <w:hyperlink r:id="rId26" w:history="1">
        <w:r w:rsidRPr="00337E3A">
          <w:rPr>
            <w:rStyle w:val="Collegamentoipertestuale"/>
            <w:rFonts w:ascii="Georgia" w:hAnsi="Georgia"/>
          </w:rPr>
          <w:t>CM</w:t>
        </w:r>
      </w:hyperlink>
      <w:r w:rsidRPr="00337E3A">
        <w:rPr>
          <w:rFonts w:ascii="Georgia" w:hAnsi="Georgia"/>
        </w:rPr>
        <w:t>)</w:t>
      </w:r>
      <w:r w:rsidRPr="00337E3A">
        <w:rPr>
          <w:rStyle w:val="Rimandonotaapidipagina"/>
          <w:rFonts w:ascii="Georgia" w:hAnsi="Georgia"/>
        </w:rPr>
        <w:footnoteReference w:id="7"/>
      </w:r>
      <w:r w:rsidR="004F6982">
        <w:rPr>
          <w:rFonts w:ascii="Georgia" w:hAnsi="Georgia"/>
        </w:rPr>
        <w:t>:</w:t>
      </w:r>
      <w:r w:rsidRPr="00337E3A">
        <w:rPr>
          <w:rFonts w:ascii="Georgia" w:hAnsi="Georgia"/>
        </w:rPr>
        <w:t xml:space="preserve"> esso si sostanzia nell’offerta competitiva di energia da parte dei produttori, acquisita dall’operatore della rete elettrica nazionale sulla base di stime periodiche dei fabbisogni energetici futuri. D’altra parte, la legge del 2013 è intervenuta su una pluralità di aspetti del sistema energetico nazionale: ha incentivato, ad esempio, la creazione di impianti per la produzione di energie rinnovabili attraverso appositi meccanismi finanziari (</w:t>
      </w:r>
      <w:proofErr w:type="spellStart"/>
      <w:r w:rsidRPr="00337E3A">
        <w:rPr>
          <w:rFonts w:ascii="Georgia" w:hAnsi="Georgia"/>
          <w:i/>
        </w:rPr>
        <w:t>Renewable</w:t>
      </w:r>
      <w:proofErr w:type="spellEnd"/>
      <w:r w:rsidRPr="00337E3A">
        <w:rPr>
          <w:rFonts w:ascii="Georgia" w:hAnsi="Georgia"/>
          <w:i/>
        </w:rPr>
        <w:t xml:space="preserve"> </w:t>
      </w:r>
      <w:proofErr w:type="spellStart"/>
      <w:r w:rsidRPr="00337E3A">
        <w:rPr>
          <w:rFonts w:ascii="Georgia" w:hAnsi="Georgia"/>
          <w:i/>
        </w:rPr>
        <w:t>Obligations</w:t>
      </w:r>
      <w:proofErr w:type="spellEnd"/>
      <w:r w:rsidRPr="00337E3A">
        <w:rPr>
          <w:rFonts w:ascii="Georgia" w:hAnsi="Georgia"/>
        </w:rPr>
        <w:t>); ha fissato i limiti massimi annuali di emissione per la produzione di energia da fonti fossili (</w:t>
      </w:r>
      <w:proofErr w:type="spellStart"/>
      <w:r w:rsidRPr="00337E3A">
        <w:rPr>
          <w:rFonts w:ascii="Georgia" w:hAnsi="Georgia"/>
          <w:i/>
        </w:rPr>
        <w:t>Emission</w:t>
      </w:r>
      <w:proofErr w:type="spellEnd"/>
      <w:r w:rsidRPr="00337E3A">
        <w:rPr>
          <w:rFonts w:ascii="Georgia" w:hAnsi="Georgia"/>
          <w:i/>
        </w:rPr>
        <w:t xml:space="preserve"> Performance </w:t>
      </w:r>
      <w:proofErr w:type="spellStart"/>
      <w:r w:rsidRPr="00337E3A">
        <w:rPr>
          <w:rFonts w:ascii="Georgia" w:hAnsi="Georgia"/>
          <w:i/>
        </w:rPr>
        <w:t>Standards</w:t>
      </w:r>
      <w:proofErr w:type="spellEnd"/>
      <w:r w:rsidRPr="00337E3A">
        <w:rPr>
          <w:rFonts w:ascii="Georgia" w:hAnsi="Georgia"/>
        </w:rPr>
        <w:t xml:space="preserve">); ha modificato l’assetto degli organi di controllo e di regolamentazione nel settore dell’energia nucleare e </w:t>
      </w:r>
      <w:r w:rsidRPr="00857116">
        <w:rPr>
          <w:rFonts w:ascii="Georgia" w:hAnsi="Georgia"/>
        </w:rPr>
        <w:t>petrolifera</w:t>
      </w:r>
      <w:r w:rsidRPr="00337E3A">
        <w:rPr>
          <w:rFonts w:ascii="Georgia" w:hAnsi="Georgia"/>
        </w:rPr>
        <w:t>.</w:t>
      </w:r>
    </w:p>
    <w:p w:rsidR="001C47E3" w:rsidRPr="00337E3A" w:rsidRDefault="001C47E3" w:rsidP="001C47E3">
      <w:pPr>
        <w:spacing w:after="120"/>
        <w:ind w:firstLine="357"/>
        <w:jc w:val="both"/>
        <w:rPr>
          <w:rFonts w:ascii="Georgia" w:hAnsi="Georgia"/>
        </w:rPr>
      </w:pPr>
      <w:r w:rsidRPr="00337E3A">
        <w:rPr>
          <w:rFonts w:ascii="Georgia" w:hAnsi="Georgia"/>
        </w:rPr>
        <w:t xml:space="preserve">Negli ultimi anni, l’asse della politica energetica nazionale si è più marcatamente intersecato con quello della </w:t>
      </w:r>
      <w:r w:rsidRPr="00337E3A">
        <w:rPr>
          <w:rFonts w:ascii="Georgia" w:hAnsi="Georgia"/>
          <w:b/>
        </w:rPr>
        <w:t>politica industriale</w:t>
      </w:r>
      <w:r w:rsidRPr="00337E3A">
        <w:rPr>
          <w:rFonts w:ascii="Georgia" w:hAnsi="Georgia"/>
        </w:rPr>
        <w:t xml:space="preserve">, in una visione integrata dei rispettivi ambiti e con </w:t>
      </w:r>
      <w:r w:rsidR="00857116">
        <w:rPr>
          <w:rFonts w:ascii="Georgia" w:hAnsi="Georgia"/>
        </w:rPr>
        <w:t xml:space="preserve">una particolare </w:t>
      </w:r>
      <w:r w:rsidRPr="00337E3A">
        <w:rPr>
          <w:rFonts w:ascii="Georgia" w:hAnsi="Georgia"/>
        </w:rPr>
        <w:t xml:space="preserve">enfasi posta su modelli operativi tendenti ad affidare ai mercati la produzione energetica, in graduale superamento dell’esperienza maturata relativamente all’erogazione di sussidi </w:t>
      </w:r>
      <w:r w:rsidR="00857116">
        <w:rPr>
          <w:rFonts w:ascii="Georgia" w:hAnsi="Georgia"/>
        </w:rPr>
        <w:t xml:space="preserve">e </w:t>
      </w:r>
      <w:r w:rsidRPr="00337E3A">
        <w:rPr>
          <w:rFonts w:ascii="Georgia" w:hAnsi="Georgia"/>
        </w:rPr>
        <w:t xml:space="preserve">di altre forme di aiuti pubblici finalizzati alla creazione di tali mercati e al contenimento dei loro costi. Le linee programmatiche in materia di energia si rinvengono infatti incorporate, da ultimo, nel </w:t>
      </w:r>
      <w:r w:rsidRPr="00337E3A">
        <w:rPr>
          <w:rFonts w:ascii="Georgia" w:hAnsi="Georgia"/>
          <w:b/>
        </w:rPr>
        <w:t>piano strategico nazionale per lo sviluppo industriale</w:t>
      </w:r>
      <w:r w:rsidRPr="00337E3A">
        <w:rPr>
          <w:rFonts w:ascii="Georgia" w:hAnsi="Georgia"/>
        </w:rPr>
        <w:t>, oggetto del “Libro verde” pubblicato dal Governo del Regno Unito nel gennaio 2017 (</w:t>
      </w:r>
      <w:hyperlink r:id="rId27" w:history="1">
        <w:r w:rsidRPr="00337E3A">
          <w:rPr>
            <w:rStyle w:val="Collegamentoipertestuale"/>
            <w:rFonts w:ascii="Georgia" w:hAnsi="Georgia"/>
            <w:i/>
          </w:rPr>
          <w:t xml:space="preserve">Building </w:t>
        </w:r>
        <w:proofErr w:type="spellStart"/>
        <w:r w:rsidRPr="00337E3A">
          <w:rPr>
            <w:rStyle w:val="Collegamentoipertestuale"/>
            <w:rFonts w:ascii="Georgia" w:hAnsi="Georgia"/>
            <w:i/>
          </w:rPr>
          <w:t>our</w:t>
        </w:r>
        <w:proofErr w:type="spellEnd"/>
        <w:r w:rsidRPr="00337E3A">
          <w:rPr>
            <w:rStyle w:val="Collegamentoipertestuale"/>
            <w:rFonts w:ascii="Georgia" w:hAnsi="Georgia"/>
            <w:i/>
          </w:rPr>
          <w:t xml:space="preserve"> Industrial </w:t>
        </w:r>
        <w:proofErr w:type="spellStart"/>
        <w:r w:rsidRPr="00337E3A">
          <w:rPr>
            <w:rStyle w:val="Collegamentoipertestuale"/>
            <w:rFonts w:ascii="Georgia" w:hAnsi="Georgia"/>
            <w:i/>
          </w:rPr>
          <w:t>Strategy</w:t>
        </w:r>
        <w:proofErr w:type="spellEnd"/>
      </w:hyperlink>
      <w:r w:rsidRPr="00337E3A">
        <w:rPr>
          <w:rFonts w:ascii="Georgia" w:hAnsi="Georgia"/>
        </w:rPr>
        <w:t xml:space="preserve">), e oggetto di una consultazione pubblica tuttora in corso di svolgimento (si concluderà nell’aprile 2017). Peraltro, dell’immediata collocazione degli indirizzi pubblici in materia di energia nel più ampio contesto della politica industriale nazionale è indice la stessa revisione delle competenze ministeriali, che ha comportato l’attribuzione, nel luglio 2016 per iniziativa del Governo conservatore da poco insediatosi, al nuovo </w:t>
      </w:r>
      <w:proofErr w:type="spellStart"/>
      <w:r w:rsidRPr="00337E3A">
        <w:rPr>
          <w:rFonts w:ascii="Georgia" w:hAnsi="Georgia"/>
          <w:i/>
        </w:rPr>
        <w:t>Department</w:t>
      </w:r>
      <w:proofErr w:type="spellEnd"/>
      <w:r w:rsidRPr="00337E3A">
        <w:rPr>
          <w:rFonts w:ascii="Georgia" w:hAnsi="Georgia"/>
          <w:i/>
        </w:rPr>
        <w:t xml:space="preserve"> for Business, Energy &amp; Industrial </w:t>
      </w:r>
      <w:proofErr w:type="spellStart"/>
      <w:r w:rsidRPr="00337E3A">
        <w:rPr>
          <w:rFonts w:ascii="Georgia" w:hAnsi="Georgia"/>
          <w:i/>
        </w:rPr>
        <w:t>Strategy</w:t>
      </w:r>
      <w:proofErr w:type="spellEnd"/>
      <w:r w:rsidRPr="00337E3A">
        <w:rPr>
          <w:rFonts w:ascii="Georgia" w:hAnsi="Georgia"/>
        </w:rPr>
        <w:t xml:space="preserve"> (</w:t>
      </w:r>
      <w:hyperlink r:id="rId28" w:history="1">
        <w:r w:rsidRPr="00337E3A">
          <w:rPr>
            <w:rStyle w:val="Collegamentoipertestuale"/>
            <w:rFonts w:ascii="Georgia" w:hAnsi="Georgia"/>
          </w:rPr>
          <w:t>BEIS</w:t>
        </w:r>
      </w:hyperlink>
      <w:r w:rsidRPr="00337E3A">
        <w:rPr>
          <w:rFonts w:ascii="Georgia" w:hAnsi="Georgia"/>
        </w:rPr>
        <w:t xml:space="preserve">) dei compiti assegnati in precedenza al </w:t>
      </w:r>
      <w:proofErr w:type="spellStart"/>
      <w:r w:rsidRPr="00337E3A">
        <w:rPr>
          <w:rFonts w:ascii="Georgia" w:hAnsi="Georgia"/>
          <w:i/>
        </w:rPr>
        <w:t>Department</w:t>
      </w:r>
      <w:proofErr w:type="spellEnd"/>
      <w:r w:rsidRPr="00337E3A">
        <w:rPr>
          <w:rFonts w:ascii="Georgia" w:hAnsi="Georgia"/>
          <w:i/>
        </w:rPr>
        <w:t xml:space="preserve"> of Energy &amp; </w:t>
      </w:r>
      <w:proofErr w:type="spellStart"/>
      <w:r w:rsidRPr="00337E3A">
        <w:rPr>
          <w:rFonts w:ascii="Georgia" w:hAnsi="Georgia"/>
          <w:i/>
        </w:rPr>
        <w:t>Climate</w:t>
      </w:r>
      <w:proofErr w:type="spellEnd"/>
      <w:r w:rsidRPr="00337E3A">
        <w:rPr>
          <w:rFonts w:ascii="Georgia" w:hAnsi="Georgia"/>
          <w:i/>
        </w:rPr>
        <w:t xml:space="preserve"> </w:t>
      </w:r>
      <w:proofErr w:type="spellStart"/>
      <w:r w:rsidRPr="00337E3A">
        <w:rPr>
          <w:rFonts w:ascii="Georgia" w:hAnsi="Georgia"/>
          <w:i/>
        </w:rPr>
        <w:t>Change</w:t>
      </w:r>
      <w:proofErr w:type="spellEnd"/>
      <w:r w:rsidRPr="00337E3A">
        <w:rPr>
          <w:rFonts w:ascii="Georgia" w:hAnsi="Georgia"/>
        </w:rPr>
        <w:t xml:space="preserve"> oggi soppresso.</w:t>
      </w:r>
    </w:p>
    <w:p w:rsidR="001C47E3" w:rsidRPr="00337E3A" w:rsidRDefault="001C47E3" w:rsidP="001C47E3">
      <w:pPr>
        <w:spacing w:after="120"/>
        <w:ind w:firstLine="357"/>
        <w:jc w:val="both"/>
        <w:rPr>
          <w:rFonts w:ascii="Georgia" w:hAnsi="Georgia"/>
        </w:rPr>
      </w:pPr>
      <w:r w:rsidRPr="00337E3A">
        <w:rPr>
          <w:rFonts w:ascii="Georgia" w:hAnsi="Georgia"/>
        </w:rPr>
        <w:t>Alla luce delle previsioni del suddetto “</w:t>
      </w:r>
      <w:r w:rsidRPr="00337E3A">
        <w:rPr>
          <w:rFonts w:ascii="Georgia" w:hAnsi="Georgia"/>
          <w:b/>
        </w:rPr>
        <w:t>Libro verde</w:t>
      </w:r>
      <w:r w:rsidRPr="00337E3A">
        <w:rPr>
          <w:rFonts w:ascii="Georgia" w:hAnsi="Georgia"/>
        </w:rPr>
        <w:t>”, gli indirizzi in materia energetica intendono affrontare il cosiddetto “trilemma” che tradizionalmente si rileva in questo campo, contempera</w:t>
      </w:r>
      <w:r w:rsidR="00857116">
        <w:rPr>
          <w:rFonts w:ascii="Georgia" w:hAnsi="Georgia"/>
        </w:rPr>
        <w:t>ndo</w:t>
      </w:r>
      <w:r w:rsidRPr="00337E3A">
        <w:rPr>
          <w:rFonts w:ascii="Georgia" w:hAnsi="Georgia"/>
        </w:rPr>
        <w:t xml:space="preserve"> il perseguimento di tre principali obiettivi: a) la </w:t>
      </w:r>
      <w:r w:rsidRPr="00337E3A">
        <w:rPr>
          <w:rFonts w:ascii="Georgia" w:hAnsi="Georgia"/>
          <w:b/>
        </w:rPr>
        <w:t>sicurezza e la continuità dell’approvvigionamento energetico</w:t>
      </w:r>
      <w:r w:rsidRPr="00337E3A">
        <w:rPr>
          <w:rFonts w:ascii="Georgia" w:hAnsi="Georgia"/>
        </w:rPr>
        <w:t xml:space="preserve"> del paese; b) la </w:t>
      </w:r>
      <w:r w:rsidRPr="00337E3A">
        <w:rPr>
          <w:rFonts w:ascii="Georgia" w:hAnsi="Georgia"/>
          <w:b/>
        </w:rPr>
        <w:t>transizione verso una “</w:t>
      </w:r>
      <w:proofErr w:type="spellStart"/>
      <w:r w:rsidRPr="00337E3A">
        <w:rPr>
          <w:rFonts w:ascii="Georgia" w:hAnsi="Georgia"/>
          <w:b/>
          <w:i/>
        </w:rPr>
        <w:t>low</w:t>
      </w:r>
      <w:proofErr w:type="spellEnd"/>
      <w:r w:rsidRPr="00337E3A">
        <w:rPr>
          <w:rFonts w:ascii="Georgia" w:hAnsi="Georgia"/>
          <w:b/>
          <w:i/>
        </w:rPr>
        <w:t xml:space="preserve"> carbon economy</w:t>
      </w:r>
      <w:r w:rsidRPr="00337E3A">
        <w:rPr>
          <w:rFonts w:ascii="Georgia" w:hAnsi="Georgia"/>
          <w:b/>
        </w:rPr>
        <w:t>”</w:t>
      </w:r>
      <w:r w:rsidRPr="00337E3A">
        <w:rPr>
          <w:rFonts w:ascii="Georgia" w:hAnsi="Georgia"/>
        </w:rPr>
        <w:t xml:space="preserve"> e l’innovazione delle correlate infrastrutture, senza eccessivo aggravio di costi su contribuenti, imprese e consumatori; c) lo </w:t>
      </w:r>
      <w:r w:rsidRPr="00337E3A">
        <w:rPr>
          <w:rFonts w:ascii="Georgia" w:hAnsi="Georgia"/>
          <w:b/>
        </w:rPr>
        <w:t>sviluppo dell’industria nazionale</w:t>
      </w:r>
      <w:r w:rsidRPr="00337E3A">
        <w:rPr>
          <w:rFonts w:ascii="Georgia" w:hAnsi="Georgia"/>
        </w:rPr>
        <w:t xml:space="preserve">, affinché essa possa riservarsi una quota sostanziale del mercato energetico nella dimensione globale. </w:t>
      </w:r>
    </w:p>
    <w:p w:rsidR="001C47E3" w:rsidRPr="00337E3A" w:rsidRDefault="001C47E3" w:rsidP="001C47E3">
      <w:pPr>
        <w:spacing w:after="120"/>
        <w:ind w:firstLine="357"/>
        <w:jc w:val="both"/>
        <w:rPr>
          <w:rFonts w:ascii="Georgia" w:hAnsi="Georgia"/>
        </w:rPr>
      </w:pPr>
      <w:r w:rsidRPr="00337E3A">
        <w:rPr>
          <w:rFonts w:ascii="Georgia" w:hAnsi="Georgia"/>
        </w:rPr>
        <w:t xml:space="preserve">In una recente </w:t>
      </w:r>
      <w:hyperlink r:id="rId29" w:history="1">
        <w:r w:rsidRPr="00337E3A">
          <w:rPr>
            <w:rStyle w:val="Collegamentoipertestuale"/>
            <w:rFonts w:ascii="Georgia" w:hAnsi="Georgia"/>
          </w:rPr>
          <w:t>audizione</w:t>
        </w:r>
      </w:hyperlink>
      <w:r w:rsidRPr="00337E3A">
        <w:rPr>
          <w:rFonts w:ascii="Georgia" w:hAnsi="Georgia"/>
        </w:rPr>
        <w:t xml:space="preserve"> dinanzi al </w:t>
      </w:r>
      <w:r w:rsidRPr="00337E3A">
        <w:rPr>
          <w:rFonts w:ascii="Georgia" w:hAnsi="Georgia"/>
          <w:i/>
        </w:rPr>
        <w:t xml:space="preserve">Select </w:t>
      </w:r>
      <w:proofErr w:type="spellStart"/>
      <w:r w:rsidRPr="00337E3A">
        <w:rPr>
          <w:rFonts w:ascii="Georgia" w:hAnsi="Georgia"/>
          <w:i/>
        </w:rPr>
        <w:t>Committee</w:t>
      </w:r>
      <w:proofErr w:type="spellEnd"/>
      <w:r w:rsidRPr="00337E3A">
        <w:rPr>
          <w:rFonts w:ascii="Georgia" w:hAnsi="Georgia"/>
          <w:i/>
        </w:rPr>
        <w:t xml:space="preserve"> on </w:t>
      </w:r>
      <w:proofErr w:type="spellStart"/>
      <w:r w:rsidRPr="00337E3A">
        <w:rPr>
          <w:rFonts w:ascii="Georgia" w:hAnsi="Georgia"/>
          <w:i/>
        </w:rPr>
        <w:t>Economic</w:t>
      </w:r>
      <w:proofErr w:type="spellEnd"/>
      <w:r w:rsidRPr="00337E3A">
        <w:rPr>
          <w:rFonts w:ascii="Georgia" w:hAnsi="Georgia"/>
          <w:i/>
        </w:rPr>
        <w:t xml:space="preserve"> Affairs</w:t>
      </w:r>
      <w:r w:rsidRPr="00337E3A">
        <w:rPr>
          <w:rFonts w:ascii="Georgia" w:hAnsi="Georgia"/>
        </w:rPr>
        <w:t xml:space="preserve"> della Camera dei Lord (10 gennaio 2017), il ministro responsabile del BEIS, Greg Clark, ha tuttavia sostenuto che ai tre tradizionali “pilastri” della politica energetica </w:t>
      </w:r>
      <w:r w:rsidR="00857116">
        <w:rPr>
          <w:rFonts w:ascii="Georgia" w:hAnsi="Georgia"/>
        </w:rPr>
        <w:t xml:space="preserve">se ne </w:t>
      </w:r>
      <w:r w:rsidRPr="00337E3A">
        <w:rPr>
          <w:rFonts w:ascii="Georgia" w:hAnsi="Georgia"/>
        </w:rPr>
        <w:t>debba aggiunge</w:t>
      </w:r>
      <w:r w:rsidR="00857116">
        <w:rPr>
          <w:rFonts w:ascii="Georgia" w:hAnsi="Georgia"/>
        </w:rPr>
        <w:t>r</w:t>
      </w:r>
      <w:r w:rsidRPr="00337E3A">
        <w:rPr>
          <w:rFonts w:ascii="Georgia" w:hAnsi="Georgia"/>
        </w:rPr>
        <w:t>e un quarto (la cui specifica individuazione è indice del diverso approccio del suo dicastero)</w:t>
      </w:r>
      <w:r w:rsidR="00857116">
        <w:rPr>
          <w:rFonts w:ascii="Georgia" w:hAnsi="Georgia"/>
        </w:rPr>
        <w:t xml:space="preserve"> basato sulla</w:t>
      </w:r>
      <w:r w:rsidRPr="00337E3A">
        <w:rPr>
          <w:rFonts w:ascii="Georgia" w:hAnsi="Georgia"/>
        </w:rPr>
        <w:t xml:space="preserve"> “crescente considerazione delle implicazioni industriali della politica energetica, forse in un modo che precedentemente non si è fatto, con riguardo sia ai costi dell’energia per l’industria</w:t>
      </w:r>
      <w:r w:rsidR="00857116">
        <w:rPr>
          <w:rFonts w:ascii="Georgia" w:hAnsi="Georgia"/>
        </w:rPr>
        <w:t>,</w:t>
      </w:r>
      <w:r w:rsidRPr="00337E3A">
        <w:rPr>
          <w:rFonts w:ascii="Georgia" w:hAnsi="Georgia"/>
        </w:rPr>
        <w:t xml:space="preserve"> sia alle opportunità industriali che nascono dalle decisioni che prendiamo sulla politica energetica. Ciò forse non è stato </w:t>
      </w:r>
      <w:r w:rsidRPr="00337E3A">
        <w:rPr>
          <w:rFonts w:ascii="Georgia" w:hAnsi="Georgia"/>
        </w:rPr>
        <w:lastRenderedPageBreak/>
        <w:t>esplicitamente considerato come invece richiederebbe”. In occasione di un’indagine parlamentare, il BEIS ha sintetizzato (nell’ottobre 2016) i programmi ministeriali in materia economico-energetica, dichiarando quale obiettivo generale del Governo la produzione di energia affidabile, economicamente accessibile e pulita (“</w:t>
      </w:r>
      <w:proofErr w:type="spellStart"/>
      <w:r w:rsidRPr="00857116">
        <w:rPr>
          <w:rFonts w:ascii="Georgia" w:hAnsi="Georgia"/>
          <w:i/>
        </w:rPr>
        <w:t>reliable</w:t>
      </w:r>
      <w:proofErr w:type="spellEnd"/>
      <w:r w:rsidRPr="00857116">
        <w:rPr>
          <w:rFonts w:ascii="Georgia" w:hAnsi="Georgia"/>
          <w:i/>
        </w:rPr>
        <w:t xml:space="preserve">, </w:t>
      </w:r>
      <w:proofErr w:type="spellStart"/>
      <w:r w:rsidRPr="00857116">
        <w:rPr>
          <w:rFonts w:ascii="Georgia" w:hAnsi="Georgia"/>
          <w:i/>
        </w:rPr>
        <w:t>affordable</w:t>
      </w:r>
      <w:proofErr w:type="spellEnd"/>
      <w:r w:rsidRPr="00857116">
        <w:rPr>
          <w:rFonts w:ascii="Georgia" w:hAnsi="Georgia"/>
          <w:i/>
        </w:rPr>
        <w:t xml:space="preserve">, </w:t>
      </w:r>
      <w:proofErr w:type="spellStart"/>
      <w:r w:rsidRPr="00857116">
        <w:rPr>
          <w:rFonts w:ascii="Georgia" w:hAnsi="Georgia"/>
          <w:i/>
        </w:rPr>
        <w:t>clean</w:t>
      </w:r>
      <w:proofErr w:type="spellEnd"/>
      <w:r w:rsidRPr="00337E3A">
        <w:rPr>
          <w:rFonts w:ascii="Georgia" w:hAnsi="Georgia"/>
        </w:rPr>
        <w:t>”)</w:t>
      </w:r>
      <w:r w:rsidRPr="00337E3A">
        <w:rPr>
          <w:rStyle w:val="Rimandonotaapidipagina"/>
          <w:rFonts w:ascii="Georgia" w:hAnsi="Georgia"/>
        </w:rPr>
        <w:footnoteReference w:id="8"/>
      </w:r>
      <w:r w:rsidRPr="00337E3A">
        <w:rPr>
          <w:rFonts w:ascii="Georgia" w:hAnsi="Georgia"/>
        </w:rPr>
        <w:t>.</w:t>
      </w:r>
    </w:p>
    <w:p w:rsidR="001C47E3" w:rsidRPr="00337E3A" w:rsidRDefault="001C47E3" w:rsidP="001C47E3">
      <w:pPr>
        <w:spacing w:after="120"/>
        <w:ind w:firstLine="357"/>
        <w:jc w:val="both"/>
        <w:rPr>
          <w:rFonts w:ascii="Georgia" w:hAnsi="Georgia"/>
        </w:rPr>
      </w:pPr>
      <w:r w:rsidRPr="00337E3A">
        <w:rPr>
          <w:rFonts w:ascii="Georgia" w:hAnsi="Georgia"/>
        </w:rPr>
        <w:t xml:space="preserve">I punti salienti della politica energetica, come annunciati nel “Libro verde”, riguardano la </w:t>
      </w:r>
      <w:r w:rsidRPr="00337E3A">
        <w:rPr>
          <w:rFonts w:ascii="Georgia" w:hAnsi="Georgia"/>
          <w:b/>
        </w:rPr>
        <w:t>minimizzazione dei costi dell’energia elettrica</w:t>
      </w:r>
      <w:r w:rsidRPr="00337E3A">
        <w:rPr>
          <w:rFonts w:ascii="Georgia" w:hAnsi="Georgia"/>
        </w:rPr>
        <w:t xml:space="preserve"> (ancora elevati rispetto alla media europea), ricondotti principalmente al funzionamento della rete di trasmissione nazionale; è inoltre annunciata la redazione di un </w:t>
      </w:r>
      <w:r w:rsidRPr="00337E3A">
        <w:rPr>
          <w:rFonts w:ascii="Georgia" w:hAnsi="Georgia"/>
          <w:b/>
        </w:rPr>
        <w:t>programma governativo di sostenibilità ambientale</w:t>
      </w:r>
      <w:r w:rsidRPr="00337E3A">
        <w:rPr>
          <w:rFonts w:ascii="Georgia" w:hAnsi="Georgia"/>
        </w:rPr>
        <w:t xml:space="preserve"> di durata venticinquennale (</w:t>
      </w:r>
      <w:proofErr w:type="spellStart"/>
      <w:r w:rsidRPr="00337E3A">
        <w:rPr>
          <w:rFonts w:ascii="Georgia" w:hAnsi="Georgia"/>
          <w:i/>
        </w:rPr>
        <w:t>Government’s</w:t>
      </w:r>
      <w:proofErr w:type="spellEnd"/>
      <w:r w:rsidRPr="00337E3A">
        <w:rPr>
          <w:rFonts w:ascii="Georgia" w:hAnsi="Georgia"/>
          <w:i/>
        </w:rPr>
        <w:t xml:space="preserve"> 25 </w:t>
      </w:r>
      <w:proofErr w:type="spellStart"/>
      <w:r w:rsidRPr="00337E3A">
        <w:rPr>
          <w:rFonts w:ascii="Georgia" w:hAnsi="Georgia"/>
          <w:i/>
        </w:rPr>
        <w:t>Years</w:t>
      </w:r>
      <w:proofErr w:type="spellEnd"/>
      <w:r w:rsidRPr="00337E3A">
        <w:rPr>
          <w:rFonts w:ascii="Georgia" w:hAnsi="Georgia"/>
          <w:i/>
        </w:rPr>
        <w:t xml:space="preserve"> Environment Plan</w:t>
      </w:r>
      <w:r w:rsidRPr="00337E3A">
        <w:rPr>
          <w:rFonts w:ascii="Georgia" w:hAnsi="Georgia"/>
        </w:rPr>
        <w:t xml:space="preserve">), in cui dovrebbero trovare spazio misure per l’incremento della produttività in campo energetico, la razionalizzazione dei costi, l’eliminazione di sprechi e di pratiche inefficienti. Rilievo è attribuito anche all’ammodernamento delle </w:t>
      </w:r>
      <w:r w:rsidRPr="00337E3A">
        <w:rPr>
          <w:rFonts w:ascii="Georgia" w:hAnsi="Georgia"/>
          <w:b/>
        </w:rPr>
        <w:t>dotazioni infrastrutturali</w:t>
      </w:r>
      <w:r w:rsidRPr="00337E3A">
        <w:rPr>
          <w:rFonts w:ascii="Georgia" w:hAnsi="Georgia"/>
        </w:rPr>
        <w:t>, a partire dai “contatori intelligenti” (</w:t>
      </w:r>
      <w:proofErr w:type="spellStart"/>
      <w:r w:rsidRPr="00337E3A">
        <w:rPr>
          <w:rFonts w:ascii="Georgia" w:hAnsi="Georgia"/>
          <w:i/>
        </w:rPr>
        <w:t>smart</w:t>
      </w:r>
      <w:proofErr w:type="spellEnd"/>
      <w:r w:rsidRPr="00337E3A">
        <w:rPr>
          <w:rFonts w:ascii="Georgia" w:hAnsi="Georgia"/>
          <w:i/>
        </w:rPr>
        <w:t xml:space="preserve"> </w:t>
      </w:r>
      <w:proofErr w:type="spellStart"/>
      <w:r w:rsidRPr="00337E3A">
        <w:rPr>
          <w:rFonts w:ascii="Georgia" w:hAnsi="Georgia"/>
          <w:i/>
        </w:rPr>
        <w:t>meters</w:t>
      </w:r>
      <w:proofErr w:type="spellEnd"/>
      <w:r w:rsidRPr="00337E3A">
        <w:rPr>
          <w:rFonts w:ascii="Georgia" w:hAnsi="Georgia"/>
        </w:rPr>
        <w:t>), oggetto di specifiche iniziative nell’ambito di programmi dedicati (</w:t>
      </w:r>
      <w:proofErr w:type="spellStart"/>
      <w:r w:rsidRPr="00337E3A">
        <w:rPr>
          <w:rFonts w:ascii="Georgia" w:hAnsi="Georgia"/>
          <w:i/>
        </w:rPr>
        <w:t>smart</w:t>
      </w:r>
      <w:proofErr w:type="spellEnd"/>
      <w:r w:rsidRPr="00337E3A">
        <w:rPr>
          <w:rFonts w:ascii="Georgia" w:hAnsi="Georgia"/>
          <w:i/>
        </w:rPr>
        <w:t xml:space="preserve"> </w:t>
      </w:r>
      <w:proofErr w:type="spellStart"/>
      <w:r w:rsidRPr="00337E3A">
        <w:rPr>
          <w:rFonts w:ascii="Georgia" w:hAnsi="Georgia"/>
          <w:i/>
        </w:rPr>
        <w:t>metering</w:t>
      </w:r>
      <w:proofErr w:type="spellEnd"/>
      <w:r w:rsidRPr="00337E3A">
        <w:rPr>
          <w:rFonts w:ascii="Georgia" w:hAnsi="Georgia"/>
          <w:i/>
        </w:rPr>
        <w:t xml:space="preserve"> </w:t>
      </w:r>
      <w:proofErr w:type="spellStart"/>
      <w:r w:rsidRPr="00337E3A">
        <w:rPr>
          <w:rFonts w:ascii="Georgia" w:hAnsi="Georgia"/>
          <w:i/>
        </w:rPr>
        <w:t>implementation</w:t>
      </w:r>
      <w:proofErr w:type="spellEnd"/>
      <w:r w:rsidRPr="00337E3A">
        <w:rPr>
          <w:rFonts w:ascii="Georgia" w:hAnsi="Georgia"/>
          <w:i/>
        </w:rPr>
        <w:t xml:space="preserve"> </w:t>
      </w:r>
      <w:proofErr w:type="spellStart"/>
      <w:r w:rsidRPr="00337E3A">
        <w:rPr>
          <w:rFonts w:ascii="Georgia" w:hAnsi="Georgia"/>
          <w:i/>
        </w:rPr>
        <w:t>programme</w:t>
      </w:r>
      <w:proofErr w:type="spellEnd"/>
      <w:r w:rsidRPr="00337E3A">
        <w:rPr>
          <w:rFonts w:ascii="Georgia" w:hAnsi="Georgia"/>
        </w:rPr>
        <w:t xml:space="preserve">) </w:t>
      </w:r>
      <w:r w:rsidR="00857116">
        <w:rPr>
          <w:rFonts w:ascii="Georgia" w:hAnsi="Georgia"/>
        </w:rPr>
        <w:t>assunte</w:t>
      </w:r>
      <w:r w:rsidRPr="00337E3A">
        <w:rPr>
          <w:rFonts w:ascii="Georgia" w:hAnsi="Georgia"/>
        </w:rPr>
        <w:t xml:space="preserve"> d</w:t>
      </w:r>
      <w:r w:rsidR="00857116">
        <w:rPr>
          <w:rFonts w:ascii="Georgia" w:hAnsi="Georgia"/>
        </w:rPr>
        <w:t>a</w:t>
      </w:r>
      <w:r w:rsidRPr="00337E3A">
        <w:rPr>
          <w:rFonts w:ascii="Georgia" w:hAnsi="Georgia"/>
        </w:rPr>
        <w:t>ll’autorità settoriale di regolazione (</w:t>
      </w:r>
      <w:proofErr w:type="spellStart"/>
      <w:r w:rsidRPr="00857116">
        <w:rPr>
          <w:rFonts w:ascii="Georgia" w:hAnsi="Georgia"/>
          <w:i/>
        </w:rPr>
        <w:t>Ofgem</w:t>
      </w:r>
      <w:proofErr w:type="spellEnd"/>
      <w:r w:rsidRPr="00337E3A">
        <w:rPr>
          <w:rFonts w:ascii="Georgia" w:hAnsi="Georgia"/>
        </w:rPr>
        <w:t>), nel presupposto della loro idoneità a commisurare le somministrazioni energetiche agli effettivi fabbisogni delle abitazioni e degli stabilimenti produttivi, con prevedibili benefici sul piano dei consumi energetici complessivi; a tale riguardo sono state accolte le indicazioni espresse dall’organismo indipendente preposto alle opere infrastrutturali di interesse nazionale (</w:t>
      </w:r>
      <w:r w:rsidRPr="00337E3A">
        <w:rPr>
          <w:rFonts w:ascii="Georgia" w:hAnsi="Georgia"/>
          <w:i/>
        </w:rPr>
        <w:t xml:space="preserve">National </w:t>
      </w:r>
      <w:proofErr w:type="spellStart"/>
      <w:r w:rsidRPr="00337E3A">
        <w:rPr>
          <w:rFonts w:ascii="Georgia" w:hAnsi="Georgia"/>
          <w:i/>
        </w:rPr>
        <w:t>Infrastructure</w:t>
      </w:r>
      <w:proofErr w:type="spellEnd"/>
      <w:r w:rsidRPr="00337E3A">
        <w:rPr>
          <w:rFonts w:ascii="Georgia" w:hAnsi="Georgia"/>
          <w:i/>
        </w:rPr>
        <w:t xml:space="preserve"> </w:t>
      </w:r>
      <w:proofErr w:type="spellStart"/>
      <w:r w:rsidRPr="00337E3A">
        <w:rPr>
          <w:rFonts w:ascii="Georgia" w:hAnsi="Georgia"/>
          <w:i/>
        </w:rPr>
        <w:t>Commission</w:t>
      </w:r>
      <w:proofErr w:type="spellEnd"/>
      <w:r w:rsidRPr="00337E3A">
        <w:rPr>
          <w:rFonts w:ascii="Georgia" w:hAnsi="Georgia"/>
        </w:rPr>
        <w:t xml:space="preserve">) in merito alla </w:t>
      </w:r>
      <w:r w:rsidRPr="00337E3A">
        <w:rPr>
          <w:rFonts w:ascii="Georgia" w:hAnsi="Georgia"/>
          <w:b/>
        </w:rPr>
        <w:t>flessibilità del sistema energetico</w:t>
      </w:r>
      <w:r w:rsidRPr="00337E3A">
        <w:rPr>
          <w:rFonts w:ascii="Georgia" w:hAnsi="Georgia"/>
        </w:rPr>
        <w:t>, carattere da cui dipendono quelli di sostenibilità e di economicità (</w:t>
      </w:r>
      <w:proofErr w:type="spellStart"/>
      <w:r w:rsidRPr="00337E3A">
        <w:rPr>
          <w:rFonts w:ascii="Georgia" w:hAnsi="Georgia"/>
          <w:i/>
        </w:rPr>
        <w:t>cost</w:t>
      </w:r>
      <w:proofErr w:type="spellEnd"/>
      <w:r w:rsidRPr="00337E3A">
        <w:rPr>
          <w:rFonts w:ascii="Georgia" w:hAnsi="Georgia"/>
          <w:i/>
        </w:rPr>
        <w:t xml:space="preserve"> </w:t>
      </w:r>
      <w:proofErr w:type="spellStart"/>
      <w:r w:rsidRPr="00337E3A">
        <w:rPr>
          <w:rFonts w:ascii="Georgia" w:hAnsi="Georgia"/>
          <w:i/>
        </w:rPr>
        <w:t>effective</w:t>
      </w:r>
      <w:proofErr w:type="spellEnd"/>
      <w:r w:rsidRPr="00337E3A">
        <w:rPr>
          <w:rFonts w:ascii="Georgia" w:hAnsi="Georgia"/>
        </w:rPr>
        <w:t>) del sistema medesimo.</w:t>
      </w:r>
    </w:p>
    <w:p w:rsidR="001C47E3" w:rsidRPr="00337E3A" w:rsidRDefault="001C47E3" w:rsidP="001C47E3">
      <w:pPr>
        <w:spacing w:after="120"/>
        <w:ind w:firstLine="357"/>
        <w:jc w:val="both"/>
        <w:rPr>
          <w:rFonts w:ascii="Georgia" w:hAnsi="Georgia"/>
        </w:rPr>
      </w:pPr>
      <w:r w:rsidRPr="00337E3A">
        <w:rPr>
          <w:rFonts w:ascii="Georgia" w:hAnsi="Georgia"/>
        </w:rPr>
        <w:t xml:space="preserve">La strategia integrata perseguita dal Governo britannico, che mette le politiche energetiche in stretta relazione con quelle per lo sviluppo industriale nazionale, trova espressione negli ulteriori punti programmatici richiamati nel “Libro verde”, prevedibilmente destinati a tradursi in un </w:t>
      </w:r>
      <w:r w:rsidRPr="00857116">
        <w:rPr>
          <w:rFonts w:ascii="Georgia" w:hAnsi="Georgia"/>
          <w:b/>
        </w:rPr>
        <w:t>disegno di legge di prossima presentazione</w:t>
      </w:r>
      <w:r w:rsidRPr="00337E3A">
        <w:rPr>
          <w:rFonts w:ascii="Georgia" w:hAnsi="Georgia"/>
        </w:rPr>
        <w:t>. Essi riguardano, tra l’altro</w:t>
      </w:r>
      <w:r w:rsidR="00857116">
        <w:rPr>
          <w:rFonts w:ascii="Georgia" w:hAnsi="Georgia"/>
        </w:rPr>
        <w:t>:</w:t>
      </w:r>
      <w:r w:rsidRPr="00337E3A">
        <w:rPr>
          <w:rFonts w:ascii="Georgia" w:hAnsi="Georgia"/>
        </w:rPr>
        <w:t xml:space="preserve"> </w:t>
      </w:r>
      <w:r w:rsidR="00857116">
        <w:rPr>
          <w:rFonts w:ascii="Georgia" w:hAnsi="Georgia"/>
        </w:rPr>
        <w:t xml:space="preserve">a) </w:t>
      </w:r>
      <w:r w:rsidRPr="00337E3A">
        <w:rPr>
          <w:rFonts w:ascii="Georgia" w:hAnsi="Georgia"/>
        </w:rPr>
        <w:t>l’</w:t>
      </w:r>
      <w:r w:rsidRPr="00337E3A">
        <w:rPr>
          <w:rFonts w:ascii="Georgia" w:hAnsi="Georgia"/>
          <w:b/>
        </w:rPr>
        <w:t>energia nucleare</w:t>
      </w:r>
      <w:r w:rsidRPr="00337E3A">
        <w:rPr>
          <w:rFonts w:ascii="Georgia" w:hAnsi="Georgia"/>
        </w:rPr>
        <w:t>, settore in cui il Regno Unito è impegnato per lo sviluppo della fusione nucleare (tecnologia che caratterizza il maggiore impianto al momento esistente al mondo, il</w:t>
      </w:r>
      <w:r w:rsidR="00337E3A" w:rsidRPr="00337E3A">
        <w:rPr>
          <w:rFonts w:ascii="Georgia" w:hAnsi="Georgia"/>
        </w:rPr>
        <w:t xml:space="preserve"> </w:t>
      </w:r>
      <w:r w:rsidRPr="00337E3A">
        <w:rPr>
          <w:rFonts w:ascii="Georgia" w:hAnsi="Georgia"/>
          <w:i/>
        </w:rPr>
        <w:t xml:space="preserve">Joint </w:t>
      </w:r>
      <w:proofErr w:type="spellStart"/>
      <w:r w:rsidRPr="00337E3A">
        <w:rPr>
          <w:rFonts w:ascii="Georgia" w:hAnsi="Georgia"/>
          <w:i/>
        </w:rPr>
        <w:t>European</w:t>
      </w:r>
      <w:proofErr w:type="spellEnd"/>
      <w:r w:rsidRPr="00337E3A">
        <w:rPr>
          <w:rFonts w:ascii="Georgia" w:hAnsi="Georgia"/>
          <w:i/>
        </w:rPr>
        <w:t xml:space="preserve"> </w:t>
      </w:r>
      <w:proofErr w:type="spellStart"/>
      <w:r w:rsidRPr="00337E3A">
        <w:rPr>
          <w:rFonts w:ascii="Georgia" w:hAnsi="Georgia"/>
          <w:i/>
        </w:rPr>
        <w:t>Torus</w:t>
      </w:r>
      <w:proofErr w:type="spellEnd"/>
      <w:r w:rsidRPr="00337E3A">
        <w:rPr>
          <w:rFonts w:ascii="Georgia" w:hAnsi="Georgia"/>
        </w:rPr>
        <w:t xml:space="preserve"> a </w:t>
      </w:r>
      <w:proofErr w:type="spellStart"/>
      <w:r w:rsidRPr="00337E3A">
        <w:rPr>
          <w:rFonts w:ascii="Georgia" w:hAnsi="Georgia"/>
        </w:rPr>
        <w:t>Culham</w:t>
      </w:r>
      <w:proofErr w:type="spellEnd"/>
      <w:r w:rsidRPr="00337E3A">
        <w:rPr>
          <w:rFonts w:ascii="Georgia" w:hAnsi="Georgia"/>
        </w:rPr>
        <w:t xml:space="preserve">) e per la realizzazione di un impianto ad alta capacità nell’ambito dei programmi di collaborazione internazionale; </w:t>
      </w:r>
      <w:r w:rsidR="00857116">
        <w:rPr>
          <w:rFonts w:ascii="Georgia" w:hAnsi="Georgia"/>
        </w:rPr>
        <w:t xml:space="preserve">b) </w:t>
      </w:r>
      <w:r w:rsidRPr="00337E3A">
        <w:rPr>
          <w:rFonts w:ascii="Georgia" w:hAnsi="Georgia"/>
        </w:rPr>
        <w:t>l’</w:t>
      </w:r>
      <w:r w:rsidRPr="00337E3A">
        <w:rPr>
          <w:rFonts w:ascii="Georgia" w:hAnsi="Georgia"/>
          <w:b/>
        </w:rPr>
        <w:t>energia eolica</w:t>
      </w:r>
      <w:r w:rsidRPr="00337E3A">
        <w:rPr>
          <w:rFonts w:ascii="Georgia" w:hAnsi="Georgia"/>
        </w:rPr>
        <w:t xml:space="preserve"> prodotta su piattaforme marine, di cui è esempio l’impianto Siemens inaugurato a </w:t>
      </w:r>
      <w:proofErr w:type="spellStart"/>
      <w:r w:rsidRPr="00337E3A">
        <w:rPr>
          <w:rFonts w:ascii="Georgia" w:hAnsi="Georgia"/>
        </w:rPr>
        <w:t>Hull</w:t>
      </w:r>
      <w:proofErr w:type="spellEnd"/>
      <w:r w:rsidRPr="00337E3A">
        <w:rPr>
          <w:rFonts w:ascii="Georgia" w:hAnsi="Georgia"/>
        </w:rPr>
        <w:t xml:space="preserve"> nel dicembre 2016, con la creazione – si riporta nel documento – di un migliaio di posti di lavoro e il coinvolgimento di piccole imprese nella filiera produttiva; </w:t>
      </w:r>
      <w:r w:rsidR="00857116">
        <w:rPr>
          <w:rFonts w:ascii="Georgia" w:hAnsi="Georgia"/>
        </w:rPr>
        <w:t xml:space="preserve">c) </w:t>
      </w:r>
      <w:r w:rsidRPr="00337E3A">
        <w:rPr>
          <w:rFonts w:ascii="Georgia" w:hAnsi="Georgia"/>
        </w:rPr>
        <w:t xml:space="preserve">la diffusione della </w:t>
      </w:r>
      <w:r w:rsidRPr="00337E3A">
        <w:rPr>
          <w:rFonts w:ascii="Georgia" w:hAnsi="Georgia"/>
          <w:b/>
        </w:rPr>
        <w:t>mobilità elettrica</w:t>
      </w:r>
      <w:r w:rsidRPr="00337E3A">
        <w:rPr>
          <w:rFonts w:ascii="Georgia" w:hAnsi="Georgia"/>
        </w:rPr>
        <w:t xml:space="preserve"> e del ricorso a veicoli a minimo impatto ambientale, obiettivo anch’esso individuato nell’ottica della promozione delle attività industriali e dell’occupazione.</w:t>
      </w:r>
      <w:r w:rsidR="00337E3A" w:rsidRPr="00337E3A">
        <w:rPr>
          <w:rFonts w:ascii="Georgia" w:hAnsi="Georgia"/>
        </w:rPr>
        <w:t xml:space="preserve"> </w:t>
      </w:r>
    </w:p>
    <w:p w:rsidR="001C47E3" w:rsidRDefault="001C47E3" w:rsidP="001C47E3">
      <w:pPr>
        <w:autoSpaceDE w:val="0"/>
        <w:autoSpaceDN w:val="0"/>
        <w:adjustRightInd w:val="0"/>
        <w:spacing w:after="120"/>
        <w:ind w:firstLine="357"/>
        <w:jc w:val="both"/>
        <w:rPr>
          <w:rFonts w:ascii="Georgia" w:hAnsi="Georgia"/>
        </w:rPr>
      </w:pPr>
      <w:r w:rsidRPr="00337E3A">
        <w:rPr>
          <w:rFonts w:ascii="Georgia" w:hAnsi="Georgia"/>
        </w:rPr>
        <w:t xml:space="preserve">Sul versante parlamentare, ha intanto trovato espressione l’orientamento verso una considerazione prioritaria della </w:t>
      </w:r>
      <w:r w:rsidRPr="00857116">
        <w:rPr>
          <w:rFonts w:ascii="Georgia" w:hAnsi="Georgia"/>
          <w:b/>
        </w:rPr>
        <w:t>sicurezza dell’approvvigionamento energetico nazionale</w:t>
      </w:r>
      <w:r w:rsidRPr="00337E3A">
        <w:rPr>
          <w:rFonts w:ascii="Georgia" w:hAnsi="Georgia"/>
        </w:rPr>
        <w:t xml:space="preserve"> rispetto agli obiettivi, pur vincolanti, di riduzione delle emissioni, il cui perseguimento si ritiene debba </w:t>
      </w:r>
      <w:r w:rsidRPr="00337E3A">
        <w:rPr>
          <w:rFonts w:ascii="Georgia" w:hAnsi="Georgia"/>
        </w:rPr>
        <w:lastRenderedPageBreak/>
        <w:t>richiedere livelli di efficienza economica maggiori di quelli finora sperimentati. In questa prospettiva, la competitività e l’efficienza del mercato dell’energia elettrica rappresentano, secondo questa opinione, le coordinate principali degli interventi di riforma: “</w:t>
      </w:r>
      <w:proofErr w:type="spellStart"/>
      <w:r w:rsidRPr="00857116">
        <w:rPr>
          <w:rFonts w:ascii="Georgia" w:hAnsi="Georgia"/>
          <w:i/>
        </w:rPr>
        <w:t>L</w:t>
      </w:r>
      <w:r w:rsidRPr="00857116">
        <w:rPr>
          <w:rFonts w:ascii="Georgia" w:hAnsi="Georgia" w:cs="Plantin"/>
          <w:i/>
        </w:rPr>
        <w:t>ow</w:t>
      </w:r>
      <w:proofErr w:type="spellEnd"/>
      <w:r w:rsidRPr="00857116">
        <w:rPr>
          <w:rFonts w:ascii="Georgia" w:hAnsi="Georgia" w:cs="Plantin"/>
          <w:i/>
        </w:rPr>
        <w:t xml:space="preserve"> carbon </w:t>
      </w:r>
      <w:proofErr w:type="spellStart"/>
      <w:r w:rsidRPr="00857116">
        <w:rPr>
          <w:rFonts w:ascii="Georgia" w:hAnsi="Georgia" w:cs="Plantin"/>
          <w:i/>
        </w:rPr>
        <w:t>but</w:t>
      </w:r>
      <w:proofErr w:type="spellEnd"/>
      <w:r w:rsidRPr="00857116">
        <w:rPr>
          <w:rFonts w:ascii="Georgia" w:hAnsi="Georgia" w:cs="Plantin"/>
          <w:i/>
        </w:rPr>
        <w:t xml:space="preserve"> </w:t>
      </w:r>
      <w:proofErr w:type="spellStart"/>
      <w:r w:rsidRPr="00857116">
        <w:rPr>
          <w:rFonts w:ascii="Georgia" w:hAnsi="Georgia" w:cs="Plantin"/>
          <w:i/>
        </w:rPr>
        <w:t>chronically</w:t>
      </w:r>
      <w:proofErr w:type="spellEnd"/>
      <w:r w:rsidRPr="00857116">
        <w:rPr>
          <w:rFonts w:ascii="Georgia" w:hAnsi="Georgia" w:cs="Plantin"/>
          <w:i/>
        </w:rPr>
        <w:t xml:space="preserve"> </w:t>
      </w:r>
      <w:proofErr w:type="spellStart"/>
      <w:r w:rsidRPr="00857116">
        <w:rPr>
          <w:rFonts w:ascii="Georgia" w:hAnsi="Georgia" w:cs="Plantin"/>
          <w:i/>
        </w:rPr>
        <w:t>unreliable</w:t>
      </w:r>
      <w:proofErr w:type="spellEnd"/>
      <w:r w:rsidRPr="00857116">
        <w:rPr>
          <w:rFonts w:ascii="Georgia" w:hAnsi="Georgia" w:cs="Plantin"/>
          <w:i/>
        </w:rPr>
        <w:t xml:space="preserve"> </w:t>
      </w:r>
      <w:proofErr w:type="spellStart"/>
      <w:r w:rsidRPr="00857116">
        <w:rPr>
          <w:rFonts w:ascii="Georgia" w:hAnsi="Georgia" w:cs="Plantin"/>
          <w:i/>
        </w:rPr>
        <w:t>electricity</w:t>
      </w:r>
      <w:proofErr w:type="spellEnd"/>
      <w:r w:rsidRPr="00857116">
        <w:rPr>
          <w:rFonts w:ascii="Georgia" w:hAnsi="Georgia" w:cs="Plantin"/>
          <w:i/>
        </w:rPr>
        <w:t xml:space="preserve"> </w:t>
      </w:r>
      <w:proofErr w:type="spellStart"/>
      <w:r w:rsidRPr="00857116">
        <w:rPr>
          <w:rFonts w:ascii="Georgia" w:hAnsi="Georgia" w:cs="Plantin"/>
          <w:i/>
        </w:rPr>
        <w:t>is</w:t>
      </w:r>
      <w:proofErr w:type="spellEnd"/>
      <w:r w:rsidRPr="00857116">
        <w:rPr>
          <w:rFonts w:ascii="Georgia" w:hAnsi="Georgia" w:cs="Plantin"/>
          <w:i/>
        </w:rPr>
        <w:t xml:space="preserve"> </w:t>
      </w:r>
      <w:proofErr w:type="spellStart"/>
      <w:r w:rsidRPr="00857116">
        <w:rPr>
          <w:rFonts w:ascii="Georgia" w:hAnsi="Georgia" w:cs="Plantin"/>
          <w:i/>
        </w:rPr>
        <w:t>not</w:t>
      </w:r>
      <w:proofErr w:type="spellEnd"/>
      <w:r w:rsidRPr="00857116">
        <w:rPr>
          <w:rFonts w:ascii="Georgia" w:hAnsi="Georgia" w:cs="Plantin"/>
          <w:i/>
        </w:rPr>
        <w:t xml:space="preserve"> </w:t>
      </w:r>
      <w:proofErr w:type="spellStart"/>
      <w:r w:rsidRPr="00857116">
        <w:rPr>
          <w:rFonts w:ascii="Georgia" w:hAnsi="Georgia" w:cs="Plantin"/>
          <w:i/>
        </w:rPr>
        <w:t>acceptable</w:t>
      </w:r>
      <w:proofErr w:type="spellEnd"/>
      <w:r w:rsidRPr="00857116">
        <w:rPr>
          <w:rFonts w:ascii="Georgia" w:hAnsi="Georgia" w:cs="Plantin"/>
          <w:i/>
        </w:rPr>
        <w:t xml:space="preserve">. </w:t>
      </w:r>
      <w:proofErr w:type="spellStart"/>
      <w:r w:rsidRPr="00857116">
        <w:rPr>
          <w:rFonts w:ascii="Georgia" w:hAnsi="Georgia" w:cs="Plantin"/>
          <w:i/>
        </w:rPr>
        <w:t>Similarly</w:t>
      </w:r>
      <w:proofErr w:type="spellEnd"/>
      <w:r w:rsidRPr="00857116">
        <w:rPr>
          <w:rFonts w:ascii="Georgia" w:hAnsi="Georgia" w:cs="Plantin"/>
          <w:i/>
        </w:rPr>
        <w:t xml:space="preserve"> </w:t>
      </w:r>
      <w:proofErr w:type="spellStart"/>
      <w:r w:rsidRPr="00857116">
        <w:rPr>
          <w:rFonts w:ascii="Georgia" w:hAnsi="Georgia" w:cs="Plantin"/>
          <w:i/>
        </w:rPr>
        <w:t>very</w:t>
      </w:r>
      <w:proofErr w:type="spellEnd"/>
      <w:r w:rsidRPr="00857116">
        <w:rPr>
          <w:rFonts w:ascii="Georgia" w:hAnsi="Georgia" w:cs="Plantin"/>
          <w:i/>
        </w:rPr>
        <w:t xml:space="preserve"> cheap </w:t>
      </w:r>
      <w:proofErr w:type="spellStart"/>
      <w:r w:rsidRPr="00857116">
        <w:rPr>
          <w:rFonts w:ascii="Georgia" w:hAnsi="Georgia" w:cs="Plantin"/>
          <w:i/>
        </w:rPr>
        <w:t>prices</w:t>
      </w:r>
      <w:proofErr w:type="spellEnd"/>
      <w:r w:rsidRPr="00857116">
        <w:rPr>
          <w:rFonts w:ascii="Georgia" w:hAnsi="Georgia" w:cs="Plantin"/>
          <w:i/>
        </w:rPr>
        <w:t xml:space="preserve"> </w:t>
      </w:r>
      <w:proofErr w:type="spellStart"/>
      <w:r w:rsidRPr="00857116">
        <w:rPr>
          <w:rFonts w:ascii="Georgia" w:hAnsi="Georgia" w:cs="Plantin"/>
          <w:i/>
        </w:rPr>
        <w:t>at</w:t>
      </w:r>
      <w:proofErr w:type="spellEnd"/>
      <w:r w:rsidRPr="00857116">
        <w:rPr>
          <w:rFonts w:ascii="Georgia" w:hAnsi="Georgia" w:cs="Plantin"/>
          <w:i/>
        </w:rPr>
        <w:t xml:space="preserve"> the </w:t>
      </w:r>
      <w:proofErr w:type="spellStart"/>
      <w:r w:rsidRPr="00857116">
        <w:rPr>
          <w:rFonts w:ascii="Georgia" w:hAnsi="Georgia" w:cs="Plantin"/>
          <w:i/>
        </w:rPr>
        <w:t>expense</w:t>
      </w:r>
      <w:proofErr w:type="spellEnd"/>
      <w:r w:rsidRPr="00857116">
        <w:rPr>
          <w:rFonts w:ascii="Georgia" w:hAnsi="Georgia" w:cs="Plantin"/>
          <w:i/>
        </w:rPr>
        <w:t xml:space="preserve"> of </w:t>
      </w:r>
      <w:proofErr w:type="spellStart"/>
      <w:r w:rsidRPr="00857116">
        <w:rPr>
          <w:rFonts w:ascii="Georgia" w:hAnsi="Georgia" w:cs="Plantin"/>
          <w:i/>
        </w:rPr>
        <w:t>frequent</w:t>
      </w:r>
      <w:proofErr w:type="spellEnd"/>
      <w:r w:rsidRPr="00857116">
        <w:rPr>
          <w:rFonts w:ascii="Georgia" w:hAnsi="Georgia" w:cs="Plantin"/>
          <w:i/>
        </w:rPr>
        <w:t xml:space="preserve"> </w:t>
      </w:r>
      <w:proofErr w:type="spellStart"/>
      <w:r w:rsidRPr="00857116">
        <w:rPr>
          <w:rFonts w:ascii="Georgia" w:hAnsi="Georgia" w:cs="Plantin"/>
          <w:i/>
        </w:rPr>
        <w:t>shortages</w:t>
      </w:r>
      <w:proofErr w:type="spellEnd"/>
      <w:r w:rsidRPr="00857116">
        <w:rPr>
          <w:rFonts w:ascii="Georgia" w:hAnsi="Georgia" w:cs="Plantin"/>
          <w:i/>
        </w:rPr>
        <w:t xml:space="preserve"> </w:t>
      </w:r>
      <w:proofErr w:type="spellStart"/>
      <w:r w:rsidRPr="00857116">
        <w:rPr>
          <w:rFonts w:ascii="Georgia" w:hAnsi="Georgia" w:cs="Plantin"/>
          <w:i/>
        </w:rPr>
        <w:t>would</w:t>
      </w:r>
      <w:proofErr w:type="spellEnd"/>
      <w:r w:rsidRPr="00857116">
        <w:rPr>
          <w:rFonts w:ascii="Georgia" w:hAnsi="Georgia" w:cs="Plantin"/>
          <w:i/>
        </w:rPr>
        <w:t xml:space="preserve"> be </w:t>
      </w:r>
      <w:proofErr w:type="spellStart"/>
      <w:r w:rsidRPr="00857116">
        <w:rPr>
          <w:rFonts w:ascii="Georgia" w:hAnsi="Georgia" w:cs="Plantin"/>
          <w:i/>
        </w:rPr>
        <w:t>unacceptable</w:t>
      </w:r>
      <w:proofErr w:type="spellEnd"/>
      <w:r w:rsidRPr="00337E3A">
        <w:rPr>
          <w:rFonts w:ascii="Georgia" w:hAnsi="Georgia" w:cs="Plantin"/>
        </w:rPr>
        <w:t>”</w:t>
      </w:r>
      <w:r w:rsidR="00857116">
        <w:rPr>
          <w:rFonts w:ascii="Georgia" w:hAnsi="Georgia" w:cs="Plantin"/>
        </w:rPr>
        <w:t>.</w:t>
      </w:r>
      <w:r w:rsidRPr="00337E3A">
        <w:rPr>
          <w:rStyle w:val="Rimandonotaapidipagina"/>
          <w:rFonts w:ascii="Georgia" w:hAnsi="Georgia"/>
        </w:rPr>
        <w:t xml:space="preserve"> </w:t>
      </w:r>
      <w:r w:rsidRPr="00337E3A">
        <w:rPr>
          <w:rStyle w:val="Rimandonotaapidipagina"/>
          <w:rFonts w:ascii="Georgia" w:hAnsi="Georgia"/>
        </w:rPr>
        <w:footnoteReference w:id="9"/>
      </w:r>
    </w:p>
    <w:p w:rsidR="001C47E3" w:rsidRPr="00337E3A" w:rsidRDefault="001C47E3" w:rsidP="001C47E3">
      <w:pPr>
        <w:spacing w:after="120"/>
        <w:ind w:firstLine="357"/>
        <w:jc w:val="both"/>
        <w:rPr>
          <w:rFonts w:ascii="Georgia" w:hAnsi="Georgia"/>
        </w:rPr>
      </w:pPr>
      <w:r w:rsidRPr="00337E3A">
        <w:rPr>
          <w:rFonts w:ascii="Georgia" w:hAnsi="Georgia"/>
        </w:rPr>
        <w:t xml:space="preserve">Agli indirizzi di politica energetica sono correlate, d’altra parte, anche iniziative adottate nel campo della </w:t>
      </w:r>
      <w:r w:rsidRPr="00337E3A">
        <w:rPr>
          <w:rFonts w:ascii="Georgia" w:hAnsi="Georgia"/>
          <w:b/>
        </w:rPr>
        <w:t>ricerca</w:t>
      </w:r>
      <w:r w:rsidRPr="00337E3A">
        <w:rPr>
          <w:rFonts w:ascii="Georgia" w:hAnsi="Georgia"/>
        </w:rPr>
        <w:t xml:space="preserve"> e della </w:t>
      </w:r>
      <w:r w:rsidRPr="00337E3A">
        <w:rPr>
          <w:rFonts w:ascii="Georgia" w:hAnsi="Georgia"/>
          <w:b/>
        </w:rPr>
        <w:t>formazione</w:t>
      </w:r>
      <w:r w:rsidRPr="00337E3A">
        <w:rPr>
          <w:rFonts w:ascii="Georgia" w:hAnsi="Georgia"/>
        </w:rPr>
        <w:t xml:space="preserve">, le quali si sono tradotte (oltre che, più generalmente, in misure promozionali dirette ad una maggiore diffusione della cultura scientifica nell’istruzione universitaria e </w:t>
      </w:r>
      <w:r w:rsidRPr="00A50226">
        <w:rPr>
          <w:rFonts w:ascii="Georgia" w:hAnsi="Georgia"/>
        </w:rPr>
        <w:t xml:space="preserve">specializzata) nell’avvio, sin dal 2001, del programma </w:t>
      </w:r>
      <w:hyperlink r:id="rId30" w:history="1">
        <w:proofErr w:type="spellStart"/>
        <w:r w:rsidRPr="00A50226">
          <w:rPr>
            <w:rStyle w:val="Collegamentoipertestuale"/>
            <w:rFonts w:ascii="Georgia" w:hAnsi="Georgia"/>
            <w:i/>
          </w:rPr>
          <w:t>Supergen</w:t>
        </w:r>
        <w:proofErr w:type="spellEnd"/>
      </w:hyperlink>
      <w:r w:rsidRPr="00A50226">
        <w:rPr>
          <w:rFonts w:ascii="Georgia" w:hAnsi="Georgia"/>
        </w:rPr>
        <w:t xml:space="preserve"> </w:t>
      </w:r>
      <w:r w:rsidR="00D525E5" w:rsidRPr="00A50226">
        <w:rPr>
          <w:rFonts w:ascii="Georgia" w:hAnsi="Georgia"/>
        </w:rPr>
        <w:t xml:space="preserve">(a partire dal 2017 entrato nella sua </w:t>
      </w:r>
      <w:hyperlink r:id="rId31" w:history="1">
        <w:r w:rsidR="00D525E5" w:rsidRPr="00A50226">
          <w:rPr>
            <w:rStyle w:val="Collegamentoipertestuale"/>
            <w:rFonts w:ascii="Georgia" w:hAnsi="Georgia"/>
          </w:rPr>
          <w:t>quarta fase</w:t>
        </w:r>
      </w:hyperlink>
      <w:r w:rsidR="00D525E5" w:rsidRPr="00A50226">
        <w:rPr>
          <w:rFonts w:ascii="Georgia" w:hAnsi="Georgia"/>
        </w:rPr>
        <w:t xml:space="preserve">) </w:t>
      </w:r>
      <w:r w:rsidRPr="00A50226">
        <w:rPr>
          <w:rFonts w:ascii="Georgia" w:hAnsi="Georgia"/>
        </w:rPr>
        <w:t xml:space="preserve">coordinato dal </w:t>
      </w:r>
      <w:proofErr w:type="spellStart"/>
      <w:r w:rsidRPr="00A50226">
        <w:rPr>
          <w:rFonts w:ascii="Georgia" w:hAnsi="Georgia"/>
          <w:i/>
        </w:rPr>
        <w:t>Research</w:t>
      </w:r>
      <w:proofErr w:type="spellEnd"/>
      <w:r w:rsidRPr="00A50226">
        <w:rPr>
          <w:rFonts w:ascii="Georgia" w:hAnsi="Georgia"/>
          <w:i/>
        </w:rPr>
        <w:t xml:space="preserve"> </w:t>
      </w:r>
      <w:proofErr w:type="spellStart"/>
      <w:r w:rsidRPr="00A50226">
        <w:rPr>
          <w:rFonts w:ascii="Georgia" w:hAnsi="Georgia"/>
          <w:i/>
        </w:rPr>
        <w:t>Councils</w:t>
      </w:r>
      <w:proofErr w:type="spellEnd"/>
      <w:r w:rsidRPr="00A50226">
        <w:rPr>
          <w:rFonts w:ascii="Georgia" w:hAnsi="Georgia"/>
          <w:i/>
        </w:rPr>
        <w:t xml:space="preserve"> UK</w:t>
      </w:r>
      <w:r w:rsidRPr="00A50226">
        <w:rPr>
          <w:rFonts w:ascii="Georgia" w:hAnsi="Georgia"/>
        </w:rPr>
        <w:t>, volto a</w:t>
      </w:r>
      <w:r w:rsidRPr="00337E3A">
        <w:rPr>
          <w:rFonts w:ascii="Georgia" w:hAnsi="Georgia"/>
        </w:rPr>
        <w:t xml:space="preserve"> sostenere sette consorzi di ricerca creati tra università ed imprese con il fine di sviluppare soluzioni per il complessivo miglioramento, sotto il profilo della sostenibilità e della resilienza, del sistema energetico nazionale.</w:t>
      </w:r>
    </w:p>
    <w:p w:rsidR="001C47E3" w:rsidRPr="002256A7" w:rsidRDefault="001C47E3" w:rsidP="001C47E3">
      <w:pPr>
        <w:spacing w:after="120"/>
        <w:ind w:firstLine="357"/>
        <w:jc w:val="both"/>
        <w:rPr>
          <w:rFonts w:ascii="Georgia" w:hAnsi="Georgia"/>
        </w:rPr>
      </w:pPr>
      <w:r w:rsidRPr="00A50226">
        <w:rPr>
          <w:rFonts w:ascii="Georgia" w:hAnsi="Georgia"/>
        </w:rPr>
        <w:t xml:space="preserve">Sul piano delle misure di ordine finanziario, è inoltre da segnalare la costituzione di un </w:t>
      </w:r>
      <w:r w:rsidRPr="00A50226">
        <w:rPr>
          <w:rFonts w:ascii="Georgia" w:hAnsi="Georgia"/>
          <w:b/>
        </w:rPr>
        <w:t>fondo pubblico per l’innovazione</w:t>
      </w:r>
      <w:r w:rsidRPr="00A50226">
        <w:rPr>
          <w:rFonts w:ascii="Georgia" w:hAnsi="Georgia"/>
        </w:rPr>
        <w:t xml:space="preserve">, annunciata </w:t>
      </w:r>
      <w:r w:rsidR="00D525E5" w:rsidRPr="00A50226">
        <w:rPr>
          <w:rFonts w:ascii="Georgia" w:hAnsi="Georgia"/>
        </w:rPr>
        <w:t xml:space="preserve">già nel 2016 </w:t>
      </w:r>
      <w:r w:rsidRPr="00A50226">
        <w:rPr>
          <w:rFonts w:ascii="Georgia" w:hAnsi="Georgia"/>
        </w:rPr>
        <w:t>in occasione dell’assestamento di bilancio (</w:t>
      </w:r>
      <w:proofErr w:type="spellStart"/>
      <w:r w:rsidRPr="00A50226">
        <w:fldChar w:fldCharType="begin"/>
      </w:r>
      <w:r w:rsidRPr="00A50226">
        <w:rPr>
          <w:rFonts w:ascii="Georgia" w:hAnsi="Georgia"/>
        </w:rPr>
        <w:instrText xml:space="preserve"> HYPERLINK "https://www.gov.uk/government/publications/autumn-statement-2016-documents/autumn-statement-2016" </w:instrText>
      </w:r>
      <w:r w:rsidRPr="00A50226">
        <w:fldChar w:fldCharType="separate"/>
      </w:r>
      <w:r w:rsidRPr="00A50226">
        <w:rPr>
          <w:rStyle w:val="Collegamentoipertestuale"/>
          <w:rFonts w:ascii="Georgia" w:hAnsi="Georgia"/>
          <w:i/>
        </w:rPr>
        <w:t>Autumn</w:t>
      </w:r>
      <w:proofErr w:type="spellEnd"/>
      <w:r w:rsidRPr="00A50226">
        <w:rPr>
          <w:rStyle w:val="Collegamentoipertestuale"/>
          <w:rFonts w:ascii="Georgia" w:hAnsi="Georgia"/>
          <w:i/>
        </w:rPr>
        <w:t xml:space="preserve"> Statement 2016</w:t>
      </w:r>
      <w:r w:rsidRPr="00A50226">
        <w:rPr>
          <w:rStyle w:val="Collegamentoipertestuale"/>
          <w:rFonts w:ascii="Georgia" w:hAnsi="Georgia"/>
          <w:i/>
        </w:rPr>
        <w:fldChar w:fldCharType="end"/>
      </w:r>
      <w:r w:rsidRPr="00A50226">
        <w:rPr>
          <w:rFonts w:ascii="Georgia" w:hAnsi="Georgia"/>
        </w:rPr>
        <w:t xml:space="preserve">). Il fondo – si tratta del </w:t>
      </w:r>
      <w:r w:rsidRPr="00A50226">
        <w:rPr>
          <w:rFonts w:ascii="Georgia" w:hAnsi="Georgia"/>
          <w:i/>
        </w:rPr>
        <w:t xml:space="preserve">National Productivity </w:t>
      </w:r>
      <w:proofErr w:type="spellStart"/>
      <w:r w:rsidRPr="00A50226">
        <w:rPr>
          <w:rFonts w:ascii="Georgia" w:hAnsi="Georgia"/>
          <w:i/>
        </w:rPr>
        <w:t>Investment</w:t>
      </w:r>
      <w:proofErr w:type="spellEnd"/>
      <w:r w:rsidRPr="00A50226">
        <w:rPr>
          <w:rFonts w:ascii="Georgia" w:hAnsi="Georgia"/>
          <w:i/>
        </w:rPr>
        <w:t xml:space="preserve"> Fund</w:t>
      </w:r>
      <w:r w:rsidRPr="00A50226">
        <w:rPr>
          <w:rFonts w:ascii="Georgia" w:hAnsi="Georgia"/>
        </w:rPr>
        <w:t xml:space="preserve"> </w:t>
      </w:r>
      <w:r w:rsidR="002256A7" w:rsidRPr="00A50226">
        <w:rPr>
          <w:rFonts w:ascii="Georgia" w:hAnsi="Georgia"/>
        </w:rPr>
        <w:t xml:space="preserve">(NPIF) </w:t>
      </w:r>
      <w:r w:rsidRPr="00A50226">
        <w:rPr>
          <w:rFonts w:ascii="Georgia" w:hAnsi="Georgia"/>
        </w:rPr>
        <w:t>– prevede lo stanziamento aggiuntivo annuale di 23 miliardi di sterline in cinque anni, destinato a sostenere il già esistente programma di collaborazione tra l’industria nazionale e la ricerca nel campo delle scienze applicate (</w:t>
      </w:r>
      <w:r w:rsidRPr="00A50226">
        <w:rPr>
          <w:rFonts w:ascii="Georgia" w:hAnsi="Georgia"/>
          <w:i/>
        </w:rPr>
        <w:t xml:space="preserve">Industrial </w:t>
      </w:r>
      <w:proofErr w:type="spellStart"/>
      <w:r w:rsidRPr="00A50226">
        <w:rPr>
          <w:rFonts w:ascii="Georgia" w:hAnsi="Georgia"/>
          <w:i/>
        </w:rPr>
        <w:t>Strategy</w:t>
      </w:r>
      <w:proofErr w:type="spellEnd"/>
      <w:r w:rsidRPr="00A50226">
        <w:rPr>
          <w:rFonts w:ascii="Georgia" w:hAnsi="Georgia"/>
          <w:i/>
        </w:rPr>
        <w:t xml:space="preserve"> Challenge Fund</w:t>
      </w:r>
      <w:r w:rsidRPr="00A50226">
        <w:rPr>
          <w:rFonts w:ascii="Georgia" w:hAnsi="Georgia"/>
        </w:rPr>
        <w:t xml:space="preserve"> – </w:t>
      </w:r>
      <w:hyperlink r:id="rId32" w:history="1">
        <w:r w:rsidRPr="00A50226">
          <w:rPr>
            <w:rStyle w:val="Collegamentoipertestuale"/>
            <w:rFonts w:ascii="Georgia" w:hAnsi="Georgia"/>
          </w:rPr>
          <w:t>ISCF</w:t>
        </w:r>
      </w:hyperlink>
      <w:r w:rsidRPr="00A50226">
        <w:rPr>
          <w:rFonts w:ascii="Georgia" w:hAnsi="Georgia"/>
        </w:rPr>
        <w:t>).</w:t>
      </w:r>
      <w:r w:rsidR="002256A7" w:rsidRPr="00A50226">
        <w:rPr>
          <w:rFonts w:ascii="Georgia" w:hAnsi="Georgia"/>
        </w:rPr>
        <w:t xml:space="preserve"> In sede di assestamento bilancio nell’anno finanziario successivo (</w:t>
      </w:r>
      <w:proofErr w:type="spellStart"/>
      <w:r w:rsidR="002256A7" w:rsidRPr="00A50226">
        <w:rPr>
          <w:rFonts w:ascii="Georgia" w:hAnsi="Georgia"/>
          <w:i/>
        </w:rPr>
        <w:fldChar w:fldCharType="begin"/>
      </w:r>
      <w:r w:rsidR="002256A7" w:rsidRPr="00A50226">
        <w:rPr>
          <w:rFonts w:ascii="Georgia" w:hAnsi="Georgia"/>
          <w:i/>
        </w:rPr>
        <w:instrText xml:space="preserve"> HYPERLINK "https://www.gov.uk/government/publications/autumn-budget-2017-documents/autumn-budget-2017" \l "executive-summary" </w:instrText>
      </w:r>
      <w:r w:rsidR="002256A7" w:rsidRPr="00A50226">
        <w:rPr>
          <w:rFonts w:ascii="Georgia" w:hAnsi="Georgia"/>
          <w:i/>
        </w:rPr>
        <w:fldChar w:fldCharType="separate"/>
      </w:r>
      <w:r w:rsidR="002256A7" w:rsidRPr="00A50226">
        <w:rPr>
          <w:rStyle w:val="Collegamentoipertestuale"/>
          <w:rFonts w:ascii="Georgia" w:hAnsi="Georgia"/>
          <w:i/>
        </w:rPr>
        <w:t>Autumn</w:t>
      </w:r>
      <w:proofErr w:type="spellEnd"/>
      <w:r w:rsidR="002256A7" w:rsidRPr="00A50226">
        <w:rPr>
          <w:rStyle w:val="Collegamentoipertestuale"/>
          <w:rFonts w:ascii="Georgia" w:hAnsi="Georgia"/>
          <w:i/>
        </w:rPr>
        <w:t xml:space="preserve"> Statement 2017</w:t>
      </w:r>
      <w:r w:rsidR="002256A7" w:rsidRPr="00A50226">
        <w:rPr>
          <w:rFonts w:ascii="Georgia" w:hAnsi="Georgia"/>
          <w:i/>
        </w:rPr>
        <w:fldChar w:fldCharType="end"/>
      </w:r>
      <w:r w:rsidR="002256A7" w:rsidRPr="00A50226">
        <w:rPr>
          <w:rFonts w:ascii="Georgia" w:hAnsi="Georgia"/>
        </w:rPr>
        <w:t xml:space="preserve">), l’operatività del NPIF è stata prorogata e la sua dotazione è stata incrementata con la stanziamento di ulteriori </w:t>
      </w:r>
      <w:hyperlink r:id="rId33" w:history="1">
        <w:r w:rsidR="002256A7" w:rsidRPr="00A50226">
          <w:rPr>
            <w:rStyle w:val="Collegamentoipertestuale"/>
            <w:rFonts w:ascii="Georgia" w:hAnsi="Georgia"/>
          </w:rPr>
          <w:t>stanziamenti</w:t>
        </w:r>
      </w:hyperlink>
      <w:r w:rsidR="002256A7" w:rsidRPr="00A50226">
        <w:rPr>
          <w:rFonts w:ascii="Georgia" w:hAnsi="Georgia"/>
        </w:rPr>
        <w:t xml:space="preserve">, al fine di agevolare l’attuazione del piano strategico per l’industria nazionale </w:t>
      </w:r>
      <w:r w:rsidR="003706C0" w:rsidRPr="00A50226">
        <w:rPr>
          <w:rFonts w:ascii="Georgia" w:hAnsi="Georgia"/>
        </w:rPr>
        <w:t>presentato dal Governo il 24 novembre 2017 (</w:t>
      </w:r>
      <w:hyperlink r:id="rId34" w:history="1">
        <w:r w:rsidR="003706C0" w:rsidRPr="00A50226">
          <w:rPr>
            <w:rStyle w:val="Collegamentoipertestuale"/>
            <w:rFonts w:ascii="Georgia" w:hAnsi="Georgia"/>
            <w:i/>
          </w:rPr>
          <w:t xml:space="preserve">Industrial </w:t>
        </w:r>
        <w:proofErr w:type="spellStart"/>
        <w:r w:rsidR="003706C0" w:rsidRPr="00A50226">
          <w:rPr>
            <w:rStyle w:val="Collegamentoipertestuale"/>
            <w:rFonts w:ascii="Georgia" w:hAnsi="Georgia"/>
            <w:i/>
          </w:rPr>
          <w:t>Strategy</w:t>
        </w:r>
        <w:proofErr w:type="spellEnd"/>
        <w:r w:rsidR="003706C0" w:rsidRPr="00A50226">
          <w:rPr>
            <w:rStyle w:val="Collegamentoipertestuale"/>
            <w:rFonts w:ascii="Georgia" w:hAnsi="Georgia"/>
            <w:i/>
          </w:rPr>
          <w:t xml:space="preserve">. Building a Britain </w:t>
        </w:r>
        <w:proofErr w:type="spellStart"/>
        <w:r w:rsidR="003706C0" w:rsidRPr="00A50226">
          <w:rPr>
            <w:rStyle w:val="Collegamentoipertestuale"/>
            <w:rFonts w:ascii="Georgia" w:hAnsi="Georgia"/>
            <w:i/>
          </w:rPr>
          <w:t>fit</w:t>
        </w:r>
        <w:proofErr w:type="spellEnd"/>
        <w:r w:rsidR="003706C0" w:rsidRPr="00A50226">
          <w:rPr>
            <w:rStyle w:val="Collegamentoipertestuale"/>
            <w:rFonts w:ascii="Georgia" w:hAnsi="Georgia"/>
            <w:i/>
          </w:rPr>
          <w:t xml:space="preserve"> for the Future</w:t>
        </w:r>
      </w:hyperlink>
      <w:r w:rsidR="003706C0" w:rsidRPr="00A50226">
        <w:rPr>
          <w:rFonts w:ascii="Georgia" w:hAnsi="Georgia"/>
        </w:rPr>
        <w:t>).</w:t>
      </w:r>
    </w:p>
    <w:p w:rsidR="001C47E3" w:rsidRPr="00337E3A" w:rsidRDefault="001C47E3" w:rsidP="001C47E3">
      <w:pPr>
        <w:spacing w:after="120"/>
        <w:ind w:firstLine="357"/>
        <w:jc w:val="both"/>
        <w:rPr>
          <w:rFonts w:ascii="Georgia" w:hAnsi="Georgia"/>
        </w:rPr>
      </w:pPr>
      <w:r w:rsidRPr="00337E3A">
        <w:rPr>
          <w:rFonts w:ascii="Georgia" w:hAnsi="Georgia"/>
        </w:rPr>
        <w:t>Peraltro, il quadro generale della politica energetica nazionale è suscettibile di ulteriori sviluppi – al momento non facilmente prevedibili - alla luce dell’esito del referendum del 2016 sull’</w:t>
      </w:r>
      <w:r w:rsidRPr="00337E3A">
        <w:rPr>
          <w:rFonts w:ascii="Georgia" w:hAnsi="Georgia"/>
          <w:b/>
        </w:rPr>
        <w:t xml:space="preserve">appartenenza all’Unione </w:t>
      </w:r>
      <w:r w:rsidR="00A43282">
        <w:rPr>
          <w:rFonts w:ascii="Georgia" w:hAnsi="Georgia"/>
          <w:b/>
        </w:rPr>
        <w:t>e</w:t>
      </w:r>
      <w:r w:rsidRPr="00337E3A">
        <w:rPr>
          <w:rFonts w:ascii="Georgia" w:hAnsi="Georgia"/>
          <w:b/>
        </w:rPr>
        <w:t>uropea</w:t>
      </w:r>
      <w:r w:rsidRPr="00337E3A">
        <w:rPr>
          <w:rFonts w:ascii="Georgia" w:hAnsi="Georgia"/>
        </w:rPr>
        <w:t xml:space="preserve"> del Regno Unito e dei conseguenti negoziati che il Governo britannico si accinge ad instaurare con le istituzioni euro-unitarie. Lo scenario della </w:t>
      </w:r>
      <w:proofErr w:type="spellStart"/>
      <w:r w:rsidRPr="00337E3A">
        <w:rPr>
          <w:rFonts w:ascii="Georgia" w:hAnsi="Georgia"/>
          <w:b/>
          <w:i/>
        </w:rPr>
        <w:t>Brexit</w:t>
      </w:r>
      <w:proofErr w:type="spellEnd"/>
      <w:r w:rsidRPr="00337E3A">
        <w:rPr>
          <w:rFonts w:ascii="Georgia" w:hAnsi="Georgia"/>
        </w:rPr>
        <w:t xml:space="preserve"> ha determinato l’avvio di una serie di analisi circa le sue possibili implicazioni sotto il profilo dell’approvvigionamento energetico del Paese, degli assetti del mercato energetico e del rispetto degli impegni assunti in materia di cambiamento climatico. </w:t>
      </w:r>
    </w:p>
    <w:p w:rsidR="001C47E3" w:rsidRPr="00337E3A" w:rsidRDefault="001C47E3" w:rsidP="001C47E3">
      <w:pPr>
        <w:spacing w:after="120"/>
        <w:ind w:firstLine="357"/>
        <w:jc w:val="both"/>
        <w:rPr>
          <w:rFonts w:ascii="Georgia" w:hAnsi="Georgia"/>
        </w:rPr>
      </w:pPr>
      <w:r w:rsidRPr="00337E3A">
        <w:rPr>
          <w:rFonts w:ascii="Georgia" w:hAnsi="Georgia"/>
        </w:rPr>
        <w:t>In sede parlamentare, tali aspetti sono stati presi in puntuale considerazione dalla commissione competente dalla Camera dei Comuni (</w:t>
      </w:r>
      <w:r w:rsidRPr="00337E3A">
        <w:rPr>
          <w:rFonts w:ascii="Georgia" w:hAnsi="Georgia"/>
          <w:i/>
        </w:rPr>
        <w:t xml:space="preserve">Energy and </w:t>
      </w:r>
      <w:proofErr w:type="spellStart"/>
      <w:r w:rsidRPr="00337E3A">
        <w:rPr>
          <w:rFonts w:ascii="Georgia" w:hAnsi="Georgia"/>
          <w:i/>
        </w:rPr>
        <w:t>Climate</w:t>
      </w:r>
      <w:proofErr w:type="spellEnd"/>
      <w:r w:rsidRPr="00337E3A">
        <w:rPr>
          <w:rFonts w:ascii="Georgia" w:hAnsi="Georgia"/>
          <w:i/>
        </w:rPr>
        <w:t xml:space="preserve"> </w:t>
      </w:r>
      <w:proofErr w:type="spellStart"/>
      <w:r w:rsidRPr="00337E3A">
        <w:rPr>
          <w:rFonts w:ascii="Georgia" w:hAnsi="Georgia"/>
          <w:i/>
        </w:rPr>
        <w:t>Change</w:t>
      </w:r>
      <w:proofErr w:type="spellEnd"/>
      <w:r w:rsidRPr="00337E3A">
        <w:rPr>
          <w:rFonts w:ascii="Georgia" w:hAnsi="Georgia"/>
          <w:i/>
        </w:rPr>
        <w:t xml:space="preserve"> </w:t>
      </w:r>
      <w:proofErr w:type="spellStart"/>
      <w:r w:rsidRPr="00337E3A">
        <w:rPr>
          <w:rFonts w:ascii="Georgia" w:hAnsi="Georgia"/>
          <w:i/>
        </w:rPr>
        <w:t>Committee</w:t>
      </w:r>
      <w:proofErr w:type="spellEnd"/>
      <w:r w:rsidRPr="00337E3A">
        <w:rPr>
          <w:rFonts w:ascii="Georgia" w:hAnsi="Georgia"/>
        </w:rPr>
        <w:t xml:space="preserve">), che nella sua terza </w:t>
      </w:r>
      <w:r w:rsidRPr="00A43282">
        <w:rPr>
          <w:rFonts w:ascii="Georgia" w:hAnsi="Georgia"/>
        </w:rPr>
        <w:t>relazione</w:t>
      </w:r>
      <w:r w:rsidRPr="00337E3A">
        <w:rPr>
          <w:rFonts w:ascii="Georgia" w:hAnsi="Georgia"/>
        </w:rPr>
        <w:t xml:space="preserve"> della sessione parlamentare 2016-2017 (</w:t>
      </w:r>
      <w:hyperlink r:id="rId35" w:history="1">
        <w:r w:rsidRPr="00A43282">
          <w:rPr>
            <w:rStyle w:val="Collegamentoipertestuale"/>
            <w:rFonts w:ascii="Georgia" w:hAnsi="Georgia"/>
            <w:i/>
          </w:rPr>
          <w:t xml:space="preserve">The </w:t>
        </w:r>
        <w:proofErr w:type="spellStart"/>
        <w:r w:rsidRPr="00A43282">
          <w:rPr>
            <w:rStyle w:val="Collegamentoipertestuale"/>
            <w:rFonts w:ascii="Georgia" w:hAnsi="Georgia"/>
            <w:i/>
          </w:rPr>
          <w:t>energy</w:t>
        </w:r>
        <w:proofErr w:type="spellEnd"/>
        <w:r w:rsidRPr="00A43282">
          <w:rPr>
            <w:rStyle w:val="Collegamentoipertestuale"/>
            <w:rFonts w:ascii="Georgia" w:hAnsi="Georgia"/>
            <w:i/>
          </w:rPr>
          <w:t xml:space="preserve"> </w:t>
        </w:r>
        <w:proofErr w:type="spellStart"/>
        <w:r w:rsidRPr="00A43282">
          <w:rPr>
            <w:rStyle w:val="Collegamentoipertestuale"/>
            <w:rFonts w:ascii="Georgia" w:hAnsi="Georgia"/>
            <w:i/>
          </w:rPr>
          <w:t>revolution</w:t>
        </w:r>
        <w:proofErr w:type="spellEnd"/>
        <w:r w:rsidRPr="00A43282">
          <w:rPr>
            <w:rStyle w:val="Collegamentoipertestuale"/>
            <w:rFonts w:ascii="Georgia" w:hAnsi="Georgia"/>
            <w:i/>
          </w:rPr>
          <w:t xml:space="preserve"> and future </w:t>
        </w:r>
        <w:proofErr w:type="spellStart"/>
        <w:r w:rsidRPr="00A43282">
          <w:rPr>
            <w:rStyle w:val="Collegamentoipertestuale"/>
            <w:rFonts w:ascii="Georgia" w:hAnsi="Georgia"/>
            <w:i/>
          </w:rPr>
          <w:t>challenges</w:t>
        </w:r>
        <w:proofErr w:type="spellEnd"/>
        <w:r w:rsidRPr="00A43282">
          <w:rPr>
            <w:rStyle w:val="Collegamentoipertestuale"/>
            <w:rFonts w:ascii="Georgia" w:hAnsi="Georgia"/>
            <w:i/>
          </w:rPr>
          <w:t xml:space="preserve"> for UK </w:t>
        </w:r>
        <w:proofErr w:type="spellStart"/>
        <w:r w:rsidRPr="00A43282">
          <w:rPr>
            <w:rStyle w:val="Collegamentoipertestuale"/>
            <w:rFonts w:ascii="Georgia" w:hAnsi="Georgia"/>
            <w:i/>
          </w:rPr>
          <w:t>energy</w:t>
        </w:r>
        <w:proofErr w:type="spellEnd"/>
        <w:r w:rsidRPr="00A43282">
          <w:rPr>
            <w:rStyle w:val="Collegamentoipertestuale"/>
            <w:rFonts w:ascii="Georgia" w:hAnsi="Georgia"/>
            <w:i/>
          </w:rPr>
          <w:t xml:space="preserve"> and </w:t>
        </w:r>
        <w:proofErr w:type="spellStart"/>
        <w:r w:rsidRPr="00A43282">
          <w:rPr>
            <w:rStyle w:val="Collegamentoipertestuale"/>
            <w:rFonts w:ascii="Georgia" w:hAnsi="Georgia"/>
            <w:i/>
          </w:rPr>
          <w:t>climate</w:t>
        </w:r>
        <w:proofErr w:type="spellEnd"/>
        <w:r w:rsidRPr="00A43282">
          <w:rPr>
            <w:rStyle w:val="Collegamentoipertestuale"/>
            <w:rFonts w:ascii="Georgia" w:hAnsi="Georgia"/>
            <w:i/>
          </w:rPr>
          <w:t xml:space="preserve"> </w:t>
        </w:r>
        <w:proofErr w:type="spellStart"/>
        <w:r w:rsidRPr="00A43282">
          <w:rPr>
            <w:rStyle w:val="Collegamentoipertestuale"/>
            <w:rFonts w:ascii="Georgia" w:hAnsi="Georgia"/>
            <w:i/>
          </w:rPr>
          <w:t>change</w:t>
        </w:r>
        <w:proofErr w:type="spellEnd"/>
        <w:r w:rsidRPr="00A43282">
          <w:rPr>
            <w:rStyle w:val="Collegamentoipertestuale"/>
            <w:rFonts w:ascii="Georgia" w:hAnsi="Georgia"/>
            <w:i/>
          </w:rPr>
          <w:t xml:space="preserve"> policy</w:t>
        </w:r>
      </w:hyperlink>
      <w:r w:rsidRPr="00337E3A">
        <w:rPr>
          <w:rFonts w:ascii="Georgia" w:hAnsi="Georgia"/>
        </w:rPr>
        <w:t xml:space="preserve">, 15 ottobre 2016) ha dedicato un capitolo alle conseguenze della </w:t>
      </w:r>
      <w:proofErr w:type="spellStart"/>
      <w:r w:rsidRPr="00337E3A">
        <w:rPr>
          <w:rFonts w:ascii="Georgia" w:hAnsi="Georgia"/>
          <w:i/>
        </w:rPr>
        <w:t>Brexit</w:t>
      </w:r>
      <w:proofErr w:type="spellEnd"/>
      <w:r w:rsidRPr="00337E3A">
        <w:rPr>
          <w:rFonts w:ascii="Georgia" w:hAnsi="Georgia"/>
        </w:rPr>
        <w:t xml:space="preserve"> sugli indirizzi di politica energetica nazionale, in cui è </w:t>
      </w:r>
      <w:r w:rsidRPr="00337E3A">
        <w:rPr>
          <w:rFonts w:ascii="Georgia" w:hAnsi="Georgia"/>
        </w:rPr>
        <w:lastRenderedPageBreak/>
        <w:t xml:space="preserve">riconosciuto il ruolo storicamente assolto dalla legislazione dell’Unione </w:t>
      </w:r>
      <w:r w:rsidR="00A43282">
        <w:rPr>
          <w:rFonts w:ascii="Georgia" w:hAnsi="Georgia"/>
        </w:rPr>
        <w:t>e</w:t>
      </w:r>
      <w:r w:rsidRPr="00337E3A">
        <w:rPr>
          <w:rFonts w:ascii="Georgia" w:hAnsi="Georgia"/>
        </w:rPr>
        <w:t>uropea nello stimolare un più ampio ricorso alle energie rinnovabili e il perseguimento degli obiettivi di “</w:t>
      </w:r>
      <w:proofErr w:type="spellStart"/>
      <w:r w:rsidRPr="00337E3A">
        <w:rPr>
          <w:rFonts w:ascii="Georgia" w:hAnsi="Georgia"/>
          <w:i/>
        </w:rPr>
        <w:t>decarbonisation</w:t>
      </w:r>
      <w:proofErr w:type="spellEnd"/>
      <w:r w:rsidRPr="00337E3A">
        <w:rPr>
          <w:rFonts w:ascii="Georgia" w:hAnsi="Georgia"/>
        </w:rPr>
        <w:t xml:space="preserve">”, e si è al riguardo individuato il rischio di ritardi in conseguenza del venir meno di vincoli “esterni”. </w:t>
      </w:r>
    </w:p>
    <w:p w:rsidR="001C47E3" w:rsidRPr="00337E3A" w:rsidRDefault="001C47E3" w:rsidP="00337E3A">
      <w:pPr>
        <w:spacing w:after="120"/>
        <w:ind w:firstLine="357"/>
        <w:jc w:val="both"/>
        <w:rPr>
          <w:rFonts w:ascii="Georgia" w:hAnsi="Georgia"/>
        </w:rPr>
      </w:pPr>
      <w:r w:rsidRPr="00337E3A">
        <w:rPr>
          <w:rFonts w:ascii="Georgia" w:hAnsi="Georgia"/>
        </w:rPr>
        <w:t xml:space="preserve">Benché il distacco dall’Unione </w:t>
      </w:r>
      <w:r w:rsidR="00A43282">
        <w:rPr>
          <w:rFonts w:ascii="Georgia" w:hAnsi="Georgia"/>
        </w:rPr>
        <w:t>e</w:t>
      </w:r>
      <w:r w:rsidRPr="00337E3A">
        <w:rPr>
          <w:rFonts w:ascii="Georgia" w:hAnsi="Georgia"/>
        </w:rPr>
        <w:t xml:space="preserve">uropea non possa, ad avviso della commissione, influire in modo determinante sugli indirizzi generali in questo ambito (derivanti principalmente da fonti di diritto interno, e soprattutto dal già richiamato </w:t>
      </w:r>
      <w:proofErr w:type="spellStart"/>
      <w:r w:rsidRPr="00337E3A">
        <w:rPr>
          <w:rFonts w:ascii="Georgia" w:hAnsi="Georgia"/>
          <w:i/>
        </w:rPr>
        <w:t>Climate</w:t>
      </w:r>
      <w:proofErr w:type="spellEnd"/>
      <w:r w:rsidRPr="00337E3A">
        <w:rPr>
          <w:rFonts w:ascii="Georgia" w:hAnsi="Georgia"/>
          <w:i/>
        </w:rPr>
        <w:t xml:space="preserve"> </w:t>
      </w:r>
      <w:proofErr w:type="spellStart"/>
      <w:r w:rsidRPr="00337E3A">
        <w:rPr>
          <w:rFonts w:ascii="Georgia" w:hAnsi="Georgia"/>
          <w:i/>
        </w:rPr>
        <w:t>Change</w:t>
      </w:r>
      <w:proofErr w:type="spellEnd"/>
      <w:r w:rsidRPr="00337E3A">
        <w:rPr>
          <w:rFonts w:ascii="Georgia" w:hAnsi="Georgia"/>
          <w:i/>
        </w:rPr>
        <w:t xml:space="preserve"> </w:t>
      </w:r>
      <w:proofErr w:type="spellStart"/>
      <w:r w:rsidRPr="00337E3A">
        <w:rPr>
          <w:rFonts w:ascii="Georgia" w:hAnsi="Georgia"/>
          <w:i/>
        </w:rPr>
        <w:t>Act</w:t>
      </w:r>
      <w:proofErr w:type="spellEnd"/>
      <w:r w:rsidRPr="00337E3A">
        <w:rPr>
          <w:rFonts w:ascii="Georgia" w:hAnsi="Georgia"/>
          <w:i/>
        </w:rPr>
        <w:t xml:space="preserve"> 2008</w:t>
      </w:r>
      <w:r w:rsidRPr="00337E3A">
        <w:rPr>
          <w:rFonts w:ascii="Georgia" w:hAnsi="Georgia"/>
        </w:rPr>
        <w:t xml:space="preserve">), la commissione parlamentare ha tuttavia ritenuto che, a fronte delle incertezze determinate dalla </w:t>
      </w:r>
      <w:proofErr w:type="spellStart"/>
      <w:r w:rsidRPr="00337E3A">
        <w:rPr>
          <w:rFonts w:ascii="Georgia" w:hAnsi="Georgia"/>
          <w:i/>
        </w:rPr>
        <w:t>Brexit</w:t>
      </w:r>
      <w:proofErr w:type="spellEnd"/>
      <w:r w:rsidRPr="00337E3A">
        <w:rPr>
          <w:rFonts w:ascii="Georgia" w:hAnsi="Georgia"/>
        </w:rPr>
        <w:t>, sia necessaria un’aggiornata definizione di una strategia energetica nazionale a lungo termine e delle politiche in materia di cambiamento climatico</w:t>
      </w:r>
      <w:r w:rsidRPr="00337E3A">
        <w:rPr>
          <w:rStyle w:val="Rimandonotaapidipagina"/>
          <w:rFonts w:ascii="Georgia" w:hAnsi="Georgia"/>
        </w:rPr>
        <w:footnoteReference w:id="10"/>
      </w:r>
      <w:r w:rsidRPr="00337E3A">
        <w:rPr>
          <w:rFonts w:ascii="Georgia" w:hAnsi="Georgia"/>
        </w:rPr>
        <w:t>. Le raccomandazioni espresse dalla commissione parlamentare (dirette, in particolare, a individuare alcuni aspetti prioritari delle materie oggetto degli imminenti negoziati tra Regno Unito e U</w:t>
      </w:r>
      <w:r w:rsidR="00A43282">
        <w:rPr>
          <w:rFonts w:ascii="Georgia" w:hAnsi="Georgia"/>
        </w:rPr>
        <w:t>nione e</w:t>
      </w:r>
      <w:r w:rsidRPr="00337E3A">
        <w:rPr>
          <w:rFonts w:ascii="Georgia" w:hAnsi="Georgia"/>
        </w:rPr>
        <w:t xml:space="preserve">uropea) sono state in larga parte recepite dal Governo, come argomentato nel suo documento di </w:t>
      </w:r>
      <w:hyperlink r:id="rId36" w:history="1">
        <w:r w:rsidRPr="00337E3A">
          <w:rPr>
            <w:rStyle w:val="Collegamentoipertestuale"/>
            <w:rFonts w:ascii="Georgia" w:hAnsi="Georgia"/>
          </w:rPr>
          <w:t>replica</w:t>
        </w:r>
      </w:hyperlink>
      <w:r w:rsidRPr="00337E3A">
        <w:rPr>
          <w:rFonts w:ascii="Georgia" w:hAnsi="Georgia"/>
        </w:rPr>
        <w:t xml:space="preserve"> del 17 gennaio 2017. </w:t>
      </w:r>
    </w:p>
    <w:p w:rsidR="001C47E3" w:rsidRPr="00337E3A" w:rsidRDefault="001C47E3" w:rsidP="000B210D">
      <w:pPr>
        <w:spacing w:after="120"/>
        <w:ind w:firstLine="357"/>
        <w:jc w:val="both"/>
        <w:rPr>
          <w:rFonts w:ascii="Georgia" w:hAnsi="Georgia"/>
        </w:rPr>
      </w:pPr>
    </w:p>
    <w:p w:rsidR="00E64AC7" w:rsidRPr="00337E3A" w:rsidRDefault="00A411C9" w:rsidP="00E64AC7">
      <w:pPr>
        <w:pStyle w:val="NormaleWeb"/>
        <w:spacing w:before="0" w:beforeAutospacing="0" w:after="240" w:afterAutospacing="0"/>
        <w:rPr>
          <w:rFonts w:ascii="Georgia" w:hAnsi="Georgia"/>
          <w:b/>
          <w:bCs/>
          <w:sz w:val="28"/>
          <w:szCs w:val="28"/>
        </w:rPr>
      </w:pPr>
      <w:r w:rsidRPr="00337E3A">
        <w:rPr>
          <w:rFonts w:ascii="Georgia" w:hAnsi="Georgia"/>
          <w:b/>
          <w:bCs/>
          <w:sz w:val="28"/>
          <w:szCs w:val="28"/>
        </w:rPr>
        <w:t>S</w:t>
      </w:r>
      <w:r w:rsidR="00E64AC7" w:rsidRPr="00337E3A">
        <w:rPr>
          <w:rFonts w:ascii="Georgia" w:hAnsi="Georgia"/>
          <w:b/>
          <w:bCs/>
          <w:sz w:val="28"/>
          <w:szCs w:val="28"/>
        </w:rPr>
        <w:t>pagna</w:t>
      </w:r>
    </w:p>
    <w:p w:rsidR="00F736C2" w:rsidRPr="00337E3A" w:rsidRDefault="00F736C2" w:rsidP="00F736C2">
      <w:pPr>
        <w:spacing w:after="120"/>
        <w:ind w:firstLine="357"/>
        <w:jc w:val="both"/>
        <w:rPr>
          <w:rFonts w:ascii="Georgia" w:hAnsi="Georgia"/>
        </w:rPr>
      </w:pPr>
      <w:r w:rsidRPr="00337E3A">
        <w:rPr>
          <w:rFonts w:ascii="Georgia" w:hAnsi="Georgia"/>
        </w:rPr>
        <w:t xml:space="preserve">Il </w:t>
      </w:r>
      <w:r w:rsidRPr="00337E3A">
        <w:rPr>
          <w:rFonts w:ascii="Georgia" w:hAnsi="Georgia"/>
          <w:b/>
        </w:rPr>
        <w:t>Piano di azione di risparmio ed efficienza energetica</w:t>
      </w:r>
      <w:r w:rsidRPr="00337E3A">
        <w:rPr>
          <w:rFonts w:ascii="Georgia" w:hAnsi="Georgia"/>
        </w:rPr>
        <w:t xml:space="preserve"> spagnolo (</w:t>
      </w:r>
      <w:hyperlink r:id="rId37" w:history="1">
        <w:r w:rsidRPr="00337E3A">
          <w:rPr>
            <w:rStyle w:val="Collegamentoipertestuale"/>
            <w:rFonts w:ascii="Georgia" w:hAnsi="Georgia"/>
            <w:i/>
          </w:rPr>
          <w:t xml:space="preserve">Plan de </w:t>
        </w:r>
        <w:proofErr w:type="spellStart"/>
        <w:r w:rsidRPr="00337E3A">
          <w:rPr>
            <w:rStyle w:val="Collegamentoipertestuale"/>
            <w:rFonts w:ascii="Georgia" w:hAnsi="Georgia"/>
            <w:i/>
          </w:rPr>
          <w:t>Acción</w:t>
        </w:r>
        <w:proofErr w:type="spellEnd"/>
        <w:r w:rsidRPr="00337E3A">
          <w:rPr>
            <w:rStyle w:val="Collegamentoipertestuale"/>
            <w:rFonts w:ascii="Georgia" w:hAnsi="Georgia"/>
            <w:i/>
          </w:rPr>
          <w:t xml:space="preserve"> de Ahorro y </w:t>
        </w:r>
        <w:proofErr w:type="spellStart"/>
        <w:r w:rsidRPr="00337E3A">
          <w:rPr>
            <w:rStyle w:val="Collegamentoipertestuale"/>
            <w:rFonts w:ascii="Georgia" w:hAnsi="Georgia"/>
            <w:i/>
          </w:rPr>
          <w:t>Eficiencia</w:t>
        </w:r>
        <w:proofErr w:type="spellEnd"/>
        <w:r w:rsidRPr="00337E3A">
          <w:rPr>
            <w:rStyle w:val="Collegamentoipertestuale"/>
            <w:rFonts w:ascii="Georgia" w:hAnsi="Georgia"/>
            <w:i/>
          </w:rPr>
          <w:t xml:space="preserve"> </w:t>
        </w:r>
        <w:proofErr w:type="spellStart"/>
        <w:r w:rsidRPr="00337E3A">
          <w:rPr>
            <w:rStyle w:val="Collegamentoipertestuale"/>
            <w:rFonts w:ascii="Georgia" w:hAnsi="Georgia"/>
            <w:i/>
          </w:rPr>
          <w:t>Energética</w:t>
        </w:r>
        <w:proofErr w:type="spellEnd"/>
        <w:r w:rsidRPr="00337E3A">
          <w:rPr>
            <w:rStyle w:val="Collegamentoipertestuale"/>
            <w:rFonts w:ascii="Georgia" w:hAnsi="Georgia"/>
            <w:i/>
          </w:rPr>
          <w:t xml:space="preserve"> 2011-2020</w:t>
        </w:r>
      </w:hyperlink>
      <w:r w:rsidRPr="00337E3A">
        <w:rPr>
          <w:rFonts w:ascii="Georgia" w:hAnsi="Georgia"/>
        </w:rPr>
        <w:t>) è sta</w:t>
      </w:r>
      <w:r w:rsidR="00FB4D3B">
        <w:rPr>
          <w:rFonts w:ascii="Georgia" w:hAnsi="Georgia"/>
        </w:rPr>
        <w:t>to approvato dal Consiglio dei M</w:t>
      </w:r>
      <w:r w:rsidRPr="00337E3A">
        <w:rPr>
          <w:rFonts w:ascii="Georgia" w:hAnsi="Georgia"/>
        </w:rPr>
        <w:t xml:space="preserve">inistri </w:t>
      </w:r>
      <w:r w:rsidR="00E17C0E">
        <w:rPr>
          <w:rFonts w:ascii="Georgia" w:hAnsi="Georgia"/>
        </w:rPr>
        <w:t xml:space="preserve">il 29 </w:t>
      </w:r>
      <w:r w:rsidRPr="00337E3A">
        <w:rPr>
          <w:rFonts w:ascii="Georgia" w:hAnsi="Georgia"/>
        </w:rPr>
        <w:t>luglio 2011</w:t>
      </w:r>
      <w:r w:rsidR="00BA3DD7">
        <w:rPr>
          <w:rStyle w:val="Rimandonotaapidipagina"/>
          <w:rFonts w:ascii="Georgia" w:hAnsi="Georgia"/>
        </w:rPr>
        <w:footnoteReference w:id="11"/>
      </w:r>
      <w:r w:rsidRPr="00337E3A">
        <w:rPr>
          <w:rFonts w:ascii="Georgia" w:hAnsi="Georgia"/>
        </w:rPr>
        <w:t>.</w:t>
      </w:r>
    </w:p>
    <w:p w:rsidR="00F736C2" w:rsidRPr="00337E3A" w:rsidRDefault="00F736C2" w:rsidP="00F736C2">
      <w:pPr>
        <w:spacing w:after="120"/>
        <w:ind w:firstLine="357"/>
        <w:jc w:val="both"/>
        <w:rPr>
          <w:rFonts w:ascii="Georgia" w:hAnsi="Georgia"/>
        </w:rPr>
      </w:pPr>
      <w:r w:rsidRPr="00337E3A">
        <w:rPr>
          <w:rFonts w:ascii="Georgia" w:hAnsi="Georgia"/>
        </w:rPr>
        <w:t xml:space="preserve">Le misure incluse nel Piano di azione comportano un </w:t>
      </w:r>
      <w:r w:rsidRPr="00FB4D3B">
        <w:rPr>
          <w:rFonts w:ascii="Georgia" w:hAnsi="Georgia"/>
          <w:b/>
        </w:rPr>
        <w:t>risparmio di energia finale</w:t>
      </w:r>
      <w:r w:rsidRPr="00337E3A">
        <w:rPr>
          <w:rFonts w:ascii="Georgia" w:hAnsi="Georgia"/>
        </w:rPr>
        <w:t xml:space="preserve"> nell’anno 2020 di 17.842 </w:t>
      </w:r>
      <w:proofErr w:type="spellStart"/>
      <w:r w:rsidRPr="00337E3A">
        <w:rPr>
          <w:rFonts w:ascii="Georgia" w:hAnsi="Georgia"/>
        </w:rPr>
        <w:t>ktep</w:t>
      </w:r>
      <w:proofErr w:type="spellEnd"/>
      <w:r w:rsidRPr="00337E3A">
        <w:rPr>
          <w:rFonts w:ascii="Georgia" w:hAnsi="Georgia"/>
        </w:rPr>
        <w:t xml:space="preserve"> e di </w:t>
      </w:r>
      <w:r w:rsidRPr="00FB4D3B">
        <w:rPr>
          <w:rFonts w:ascii="Georgia" w:hAnsi="Georgia"/>
          <w:b/>
        </w:rPr>
        <w:t>energia primaria</w:t>
      </w:r>
      <w:r w:rsidRPr="00337E3A">
        <w:rPr>
          <w:rFonts w:ascii="Georgia" w:hAnsi="Georgia"/>
        </w:rPr>
        <w:t xml:space="preserve"> di 35.585 </w:t>
      </w:r>
      <w:proofErr w:type="spellStart"/>
      <w:r w:rsidRPr="00337E3A">
        <w:rPr>
          <w:rFonts w:ascii="Georgia" w:hAnsi="Georgia"/>
        </w:rPr>
        <w:t>ktep</w:t>
      </w:r>
      <w:proofErr w:type="spellEnd"/>
      <w:r w:rsidRPr="00337E3A">
        <w:rPr>
          <w:rFonts w:ascii="Georgia" w:hAnsi="Georgia"/>
        </w:rPr>
        <w:t>, calcolati in riferimento all’anno 2007. Il conseguimento degli obiettivi è possibile con un programma di aiuti gestiti dal settore pubblico di 4.995 milioni di euro nel periodo 2011-20</w:t>
      </w:r>
      <w:r w:rsidR="00FB4D3B">
        <w:rPr>
          <w:rFonts w:ascii="Georgia" w:hAnsi="Georgia"/>
        </w:rPr>
        <w:t>2</w:t>
      </w:r>
      <w:r w:rsidRPr="00337E3A">
        <w:rPr>
          <w:rFonts w:ascii="Georgia" w:hAnsi="Georgia"/>
        </w:rPr>
        <w:t>0 che, insieme alle misure normative, mobilizzano un volume di investimenti di 45.985 milioni</w:t>
      </w:r>
      <w:r w:rsidR="00FB4D3B">
        <w:rPr>
          <w:rFonts w:ascii="Georgia" w:hAnsi="Georgia"/>
        </w:rPr>
        <w:t xml:space="preserve"> di euro</w:t>
      </w:r>
      <w:r w:rsidRPr="00337E3A">
        <w:rPr>
          <w:rFonts w:ascii="Georgia" w:hAnsi="Georgia"/>
        </w:rPr>
        <w:t>. I risparmi accumulati di energia finale e primaria saranno</w:t>
      </w:r>
      <w:r w:rsidR="00FB4D3B">
        <w:rPr>
          <w:rFonts w:ascii="Georgia" w:hAnsi="Georgia"/>
        </w:rPr>
        <w:t>, rispettivamente,</w:t>
      </w:r>
      <w:r w:rsidRPr="00337E3A">
        <w:rPr>
          <w:rFonts w:ascii="Georgia" w:hAnsi="Georgia"/>
        </w:rPr>
        <w:t xml:space="preserve"> di 120.967 </w:t>
      </w:r>
      <w:proofErr w:type="spellStart"/>
      <w:r w:rsidRPr="00337E3A">
        <w:rPr>
          <w:rFonts w:ascii="Georgia" w:hAnsi="Georgia"/>
        </w:rPr>
        <w:t>ktep</w:t>
      </w:r>
      <w:proofErr w:type="spellEnd"/>
      <w:r w:rsidRPr="00337E3A">
        <w:rPr>
          <w:rFonts w:ascii="Georgia" w:hAnsi="Georgia"/>
        </w:rPr>
        <w:t xml:space="preserve"> e di 247.791 </w:t>
      </w:r>
      <w:proofErr w:type="spellStart"/>
      <w:r w:rsidRPr="00337E3A">
        <w:rPr>
          <w:rFonts w:ascii="Georgia" w:hAnsi="Georgia"/>
        </w:rPr>
        <w:t>ktep</w:t>
      </w:r>
      <w:proofErr w:type="spellEnd"/>
      <w:r w:rsidRPr="00337E3A">
        <w:rPr>
          <w:rFonts w:ascii="Georgia" w:hAnsi="Georgia"/>
        </w:rPr>
        <w:t>.</w:t>
      </w:r>
    </w:p>
    <w:p w:rsidR="00F736C2" w:rsidRPr="00337E3A" w:rsidRDefault="00F736C2" w:rsidP="00F736C2">
      <w:pPr>
        <w:spacing w:after="120"/>
        <w:ind w:firstLine="357"/>
        <w:jc w:val="both"/>
        <w:rPr>
          <w:rFonts w:ascii="Georgia" w:hAnsi="Georgia"/>
        </w:rPr>
      </w:pPr>
      <w:r w:rsidRPr="00337E3A">
        <w:rPr>
          <w:rFonts w:ascii="Georgia" w:hAnsi="Georgia"/>
        </w:rPr>
        <w:t xml:space="preserve">I risparmi previsti sono relativi a </w:t>
      </w:r>
      <w:r w:rsidR="00BA3DD7">
        <w:rPr>
          <w:rFonts w:ascii="Georgia" w:hAnsi="Georgia"/>
          <w:b/>
        </w:rPr>
        <w:t>sei</w:t>
      </w:r>
      <w:r w:rsidRPr="00337E3A">
        <w:rPr>
          <w:rFonts w:ascii="Georgia" w:hAnsi="Georgia"/>
          <w:b/>
        </w:rPr>
        <w:t xml:space="preserve"> settori</w:t>
      </w:r>
      <w:r w:rsidRPr="00337E3A">
        <w:rPr>
          <w:rFonts w:ascii="Georgia" w:hAnsi="Georgia"/>
        </w:rPr>
        <w:t xml:space="preserve"> inclusi nel piano:</w:t>
      </w:r>
    </w:p>
    <w:p w:rsidR="00F736C2" w:rsidRPr="00337E3A" w:rsidRDefault="0068514B" w:rsidP="00FB4D3B">
      <w:pPr>
        <w:pStyle w:val="Paragrafoelenco"/>
        <w:numPr>
          <w:ilvl w:val="0"/>
          <w:numId w:val="16"/>
        </w:numPr>
        <w:spacing w:after="60"/>
        <w:ind w:left="714" w:hanging="357"/>
        <w:contextualSpacing w:val="0"/>
        <w:jc w:val="both"/>
        <w:rPr>
          <w:rFonts w:ascii="Georgia" w:hAnsi="Georgia"/>
        </w:rPr>
      </w:pPr>
      <w:r>
        <w:rPr>
          <w:rFonts w:ascii="Georgia" w:hAnsi="Georgia"/>
        </w:rPr>
        <w:t>I</w:t>
      </w:r>
      <w:r w:rsidR="00F736C2" w:rsidRPr="00337E3A">
        <w:rPr>
          <w:rFonts w:ascii="Georgia" w:hAnsi="Georgia"/>
        </w:rPr>
        <w:t>ndustria;</w:t>
      </w:r>
    </w:p>
    <w:p w:rsidR="00F736C2" w:rsidRPr="005E2B73" w:rsidRDefault="0068514B" w:rsidP="00FB4D3B">
      <w:pPr>
        <w:pStyle w:val="Paragrafoelenco"/>
        <w:numPr>
          <w:ilvl w:val="0"/>
          <w:numId w:val="16"/>
        </w:numPr>
        <w:spacing w:after="60"/>
        <w:ind w:left="714" w:hanging="357"/>
        <w:contextualSpacing w:val="0"/>
        <w:jc w:val="both"/>
        <w:rPr>
          <w:rFonts w:ascii="Georgia" w:hAnsi="Georgia"/>
        </w:rPr>
      </w:pPr>
      <w:r>
        <w:rPr>
          <w:rFonts w:ascii="Georgia" w:hAnsi="Georgia"/>
        </w:rPr>
        <w:t>T</w:t>
      </w:r>
      <w:r w:rsidR="00F736C2" w:rsidRPr="005E2B73">
        <w:rPr>
          <w:rFonts w:ascii="Georgia" w:hAnsi="Georgia"/>
        </w:rPr>
        <w:t>rasporti;</w:t>
      </w:r>
    </w:p>
    <w:p w:rsidR="00BA3DD7" w:rsidRPr="005E2B73" w:rsidRDefault="00BA3DD7" w:rsidP="00BA3DD7">
      <w:pPr>
        <w:pStyle w:val="Paragrafoelenco"/>
        <w:numPr>
          <w:ilvl w:val="0"/>
          <w:numId w:val="16"/>
        </w:numPr>
        <w:spacing w:after="60"/>
        <w:ind w:left="714" w:hanging="357"/>
        <w:contextualSpacing w:val="0"/>
        <w:jc w:val="both"/>
        <w:rPr>
          <w:rFonts w:ascii="Georgia" w:hAnsi="Georgia"/>
        </w:rPr>
      </w:pPr>
      <w:r>
        <w:rPr>
          <w:rFonts w:ascii="Georgia" w:hAnsi="Georgia"/>
        </w:rPr>
        <w:t>E</w:t>
      </w:r>
      <w:r w:rsidRPr="005E2B73">
        <w:rPr>
          <w:rFonts w:ascii="Georgia" w:hAnsi="Georgia"/>
        </w:rPr>
        <w:t>dilizia e impianti;</w:t>
      </w:r>
    </w:p>
    <w:p w:rsidR="00F736C2" w:rsidRPr="005E2B73" w:rsidRDefault="0068514B" w:rsidP="00FB4D3B">
      <w:pPr>
        <w:pStyle w:val="Paragrafoelenco"/>
        <w:numPr>
          <w:ilvl w:val="0"/>
          <w:numId w:val="16"/>
        </w:numPr>
        <w:spacing w:after="60"/>
        <w:ind w:left="714" w:hanging="357"/>
        <w:contextualSpacing w:val="0"/>
        <w:jc w:val="both"/>
        <w:rPr>
          <w:rFonts w:ascii="Georgia" w:hAnsi="Georgia"/>
        </w:rPr>
      </w:pPr>
      <w:r>
        <w:rPr>
          <w:rFonts w:ascii="Georgia" w:hAnsi="Georgia"/>
        </w:rPr>
        <w:t>S</w:t>
      </w:r>
      <w:r w:rsidR="00F736C2" w:rsidRPr="005E2B73">
        <w:rPr>
          <w:rFonts w:ascii="Georgia" w:hAnsi="Georgia"/>
        </w:rPr>
        <w:t>ervizi pubblici;</w:t>
      </w:r>
    </w:p>
    <w:p w:rsidR="00BA3DD7" w:rsidRDefault="0068514B" w:rsidP="00BA3DD7">
      <w:pPr>
        <w:pStyle w:val="Paragrafoelenco"/>
        <w:numPr>
          <w:ilvl w:val="0"/>
          <w:numId w:val="16"/>
        </w:numPr>
        <w:spacing w:after="60"/>
        <w:ind w:left="714" w:hanging="357"/>
        <w:contextualSpacing w:val="0"/>
        <w:jc w:val="both"/>
        <w:rPr>
          <w:rFonts w:ascii="Georgia" w:hAnsi="Georgia"/>
        </w:rPr>
      </w:pPr>
      <w:r w:rsidRPr="00BA3DD7">
        <w:rPr>
          <w:rFonts w:ascii="Georgia" w:hAnsi="Georgia"/>
        </w:rPr>
        <w:t>A</w:t>
      </w:r>
      <w:r w:rsidR="00BA3DD7" w:rsidRPr="00BA3DD7">
        <w:rPr>
          <w:rFonts w:ascii="Georgia" w:hAnsi="Georgia"/>
        </w:rPr>
        <w:t>gricoltura e pesca;</w:t>
      </w:r>
    </w:p>
    <w:p w:rsidR="00BA3DD7" w:rsidRPr="00BA3DD7" w:rsidRDefault="00BA3DD7" w:rsidP="00FB4D3B">
      <w:pPr>
        <w:pStyle w:val="Paragrafoelenco"/>
        <w:numPr>
          <w:ilvl w:val="0"/>
          <w:numId w:val="16"/>
        </w:numPr>
        <w:spacing w:after="120"/>
        <w:ind w:left="714" w:hanging="357"/>
        <w:contextualSpacing w:val="0"/>
        <w:jc w:val="both"/>
        <w:rPr>
          <w:rFonts w:ascii="Georgia" w:hAnsi="Georgia"/>
        </w:rPr>
      </w:pPr>
      <w:r w:rsidRPr="00BA3DD7">
        <w:rPr>
          <w:rFonts w:ascii="Georgia" w:hAnsi="Georgia"/>
        </w:rPr>
        <w:t>Trasformazione dell’energia.</w:t>
      </w:r>
    </w:p>
    <w:p w:rsidR="00F736C2" w:rsidRPr="005E2B73" w:rsidRDefault="00F736C2" w:rsidP="00F736C2">
      <w:pPr>
        <w:spacing w:after="120"/>
        <w:ind w:firstLine="357"/>
        <w:jc w:val="both"/>
        <w:rPr>
          <w:rFonts w:ascii="Georgia" w:hAnsi="Georgia"/>
        </w:rPr>
      </w:pPr>
      <w:r w:rsidRPr="005E2B73">
        <w:rPr>
          <w:rFonts w:ascii="Georgia" w:hAnsi="Georgia"/>
        </w:rPr>
        <w:t>Nel quadro del Piano svolge un ruolo fondamentale la collaborazione dell’</w:t>
      </w:r>
      <w:proofErr w:type="spellStart"/>
      <w:r w:rsidR="005E2B73" w:rsidRPr="005E2B73">
        <w:fldChar w:fldCharType="begin"/>
      </w:r>
      <w:r w:rsidR="005E2B73" w:rsidRPr="005E2B73">
        <w:rPr>
          <w:rFonts w:ascii="Georgia" w:hAnsi="Georgia"/>
        </w:rPr>
        <w:instrText xml:space="preserve"> HYPERLINK "http://www.idae.es/" </w:instrText>
      </w:r>
      <w:r w:rsidR="005E2B73" w:rsidRPr="005E2B73">
        <w:fldChar w:fldCharType="separate"/>
      </w:r>
      <w:r w:rsidRPr="005E2B73">
        <w:rPr>
          <w:rStyle w:val="Collegamentoipertestuale"/>
          <w:rFonts w:ascii="Georgia" w:hAnsi="Georgia"/>
          <w:i/>
        </w:rPr>
        <w:t>Instituto</w:t>
      </w:r>
      <w:proofErr w:type="spellEnd"/>
      <w:r w:rsidRPr="005E2B73">
        <w:rPr>
          <w:rStyle w:val="Collegamentoipertestuale"/>
          <w:rFonts w:ascii="Georgia" w:hAnsi="Georgia"/>
          <w:i/>
        </w:rPr>
        <w:t xml:space="preserve"> para la </w:t>
      </w:r>
      <w:proofErr w:type="spellStart"/>
      <w:r w:rsidRPr="005E2B73">
        <w:rPr>
          <w:rStyle w:val="Collegamentoipertestuale"/>
          <w:rFonts w:ascii="Georgia" w:hAnsi="Georgia"/>
          <w:i/>
        </w:rPr>
        <w:t>Diversificación</w:t>
      </w:r>
      <w:proofErr w:type="spellEnd"/>
      <w:r w:rsidRPr="005E2B73">
        <w:rPr>
          <w:rStyle w:val="Collegamentoipertestuale"/>
          <w:rFonts w:ascii="Georgia" w:hAnsi="Georgia"/>
          <w:i/>
        </w:rPr>
        <w:t xml:space="preserve"> y Ahorro de la </w:t>
      </w:r>
      <w:proofErr w:type="spellStart"/>
      <w:r w:rsidRPr="005E2B73">
        <w:rPr>
          <w:rStyle w:val="Collegamentoipertestuale"/>
          <w:rFonts w:ascii="Georgia" w:hAnsi="Georgia"/>
          <w:i/>
        </w:rPr>
        <w:t>Energía</w:t>
      </w:r>
      <w:proofErr w:type="spellEnd"/>
      <w:r w:rsidRPr="005E2B73">
        <w:rPr>
          <w:rStyle w:val="Collegamentoipertestuale"/>
          <w:rFonts w:ascii="Georgia" w:hAnsi="Georgia"/>
          <w:i/>
        </w:rPr>
        <w:t xml:space="preserve"> (IDAE)</w:t>
      </w:r>
      <w:r w:rsidR="005E2B73" w:rsidRPr="005E2B73">
        <w:rPr>
          <w:rStyle w:val="Collegamentoipertestuale"/>
          <w:rFonts w:ascii="Georgia" w:hAnsi="Georgia"/>
          <w:i/>
        </w:rPr>
        <w:fldChar w:fldCharType="end"/>
      </w:r>
      <w:r w:rsidRPr="005E2B73">
        <w:rPr>
          <w:rStyle w:val="Rimandonotaapidipagina"/>
          <w:rFonts w:ascii="Georgia" w:hAnsi="Georgia"/>
        </w:rPr>
        <w:footnoteReference w:id="12"/>
      </w:r>
      <w:r w:rsidRPr="005E2B73">
        <w:rPr>
          <w:rFonts w:ascii="Georgia" w:hAnsi="Georgia"/>
        </w:rPr>
        <w:t xml:space="preserve"> con le </w:t>
      </w:r>
      <w:r w:rsidRPr="005E2B73">
        <w:rPr>
          <w:rFonts w:ascii="Georgia" w:hAnsi="Georgia"/>
        </w:rPr>
        <w:lastRenderedPageBreak/>
        <w:t xml:space="preserve">Comunità autonome per l’esecuzione della maggior parte delle misure di sostegno, formazione e comunicazione, secondo un modello di cofinanziamento e cogestione tra l’Amministrazione generale dello Stato e le amministrazioni </w:t>
      </w:r>
      <w:proofErr w:type="spellStart"/>
      <w:r w:rsidRPr="005E2B73">
        <w:rPr>
          <w:rFonts w:ascii="Georgia" w:hAnsi="Georgia"/>
        </w:rPr>
        <w:t>autonomiche</w:t>
      </w:r>
      <w:proofErr w:type="spellEnd"/>
      <w:r w:rsidRPr="005E2B73">
        <w:rPr>
          <w:rFonts w:ascii="Georgia" w:hAnsi="Georgia"/>
        </w:rPr>
        <w:t>. Sono previsti meccanismi normativi e regolamentari che rendano possibile il conseguimento degli obiettivi di risparmio mediante la fissazione di standard molto esigenti di efficienza energetica.</w:t>
      </w:r>
    </w:p>
    <w:p w:rsidR="00F736C2" w:rsidRPr="005E2B73" w:rsidRDefault="00F736C2" w:rsidP="00F736C2">
      <w:pPr>
        <w:spacing w:after="120"/>
        <w:ind w:firstLine="357"/>
        <w:jc w:val="both"/>
        <w:rPr>
          <w:rFonts w:ascii="Georgia" w:hAnsi="Georgia"/>
        </w:rPr>
      </w:pPr>
      <w:r w:rsidRPr="005E2B73">
        <w:rPr>
          <w:rFonts w:ascii="Georgia" w:hAnsi="Georgia"/>
        </w:rPr>
        <w:t xml:space="preserve">Le misure del piano fanno riferimento alla promozione della </w:t>
      </w:r>
      <w:r w:rsidR="0068514B">
        <w:rPr>
          <w:rFonts w:ascii="Georgia" w:hAnsi="Georgia"/>
        </w:rPr>
        <w:t>più elevata</w:t>
      </w:r>
      <w:r w:rsidRPr="005E2B73">
        <w:rPr>
          <w:rFonts w:ascii="Georgia" w:hAnsi="Georgia"/>
        </w:rPr>
        <w:t xml:space="preserve"> tecnologia nel settore </w:t>
      </w:r>
      <w:r w:rsidRPr="005E2B73">
        <w:rPr>
          <w:rFonts w:ascii="Georgia" w:hAnsi="Georgia"/>
          <w:b/>
        </w:rPr>
        <w:t>Industria</w:t>
      </w:r>
      <w:r w:rsidRPr="005E2B73">
        <w:rPr>
          <w:rFonts w:ascii="Georgia" w:hAnsi="Georgia"/>
        </w:rPr>
        <w:t xml:space="preserve">, favorendo l’adozione delle </w:t>
      </w:r>
      <w:r w:rsidRPr="005E2B73">
        <w:rPr>
          <w:rFonts w:ascii="Georgia" w:hAnsi="Georgia"/>
          <w:b/>
        </w:rPr>
        <w:t>migliori tecnologie disponibili</w:t>
      </w:r>
      <w:r w:rsidRPr="005E2B73">
        <w:rPr>
          <w:rFonts w:ascii="Georgia" w:hAnsi="Georgia"/>
        </w:rPr>
        <w:t>, l’installazione di sistemi di gestione energetica e il sostegno alla realizzazione di audit energetici.</w:t>
      </w:r>
    </w:p>
    <w:p w:rsidR="00F736C2" w:rsidRPr="005E2B73" w:rsidRDefault="00F736C2" w:rsidP="00F736C2">
      <w:pPr>
        <w:spacing w:after="120"/>
        <w:ind w:firstLine="357"/>
        <w:jc w:val="both"/>
        <w:rPr>
          <w:rFonts w:ascii="Georgia" w:hAnsi="Georgia"/>
        </w:rPr>
      </w:pPr>
      <w:r w:rsidRPr="005E2B73">
        <w:rPr>
          <w:rFonts w:ascii="Georgia" w:hAnsi="Georgia"/>
        </w:rPr>
        <w:t xml:space="preserve">Nel settore </w:t>
      </w:r>
      <w:r w:rsidRPr="005E2B73">
        <w:rPr>
          <w:rFonts w:ascii="Georgia" w:hAnsi="Georgia"/>
          <w:b/>
        </w:rPr>
        <w:t>Trasporti</w:t>
      </w:r>
      <w:r w:rsidRPr="005E2B73">
        <w:rPr>
          <w:rFonts w:ascii="Georgia" w:hAnsi="Georgia"/>
        </w:rPr>
        <w:t xml:space="preserve"> si propongono misure di sostegno del </w:t>
      </w:r>
      <w:r w:rsidRPr="005E2B73">
        <w:rPr>
          <w:rFonts w:ascii="Georgia" w:hAnsi="Georgia"/>
          <w:b/>
        </w:rPr>
        <w:t>cambio modale</w:t>
      </w:r>
      <w:r w:rsidRPr="005E2B73">
        <w:rPr>
          <w:rFonts w:ascii="Georgia" w:hAnsi="Georgia"/>
        </w:rPr>
        <w:t xml:space="preserve"> in favore di un maggiore utilizzo della modalità ferroviaria, un uso razionale dei mezzi di trasporto e il rinnovo delle flotte.</w:t>
      </w:r>
    </w:p>
    <w:p w:rsidR="00F736C2" w:rsidRPr="005E2B73" w:rsidRDefault="00F736C2" w:rsidP="00F736C2">
      <w:pPr>
        <w:spacing w:after="120"/>
        <w:ind w:firstLine="357"/>
        <w:jc w:val="both"/>
        <w:rPr>
          <w:rFonts w:ascii="Georgia" w:hAnsi="Georgia"/>
        </w:rPr>
      </w:pPr>
      <w:r w:rsidRPr="005E2B73">
        <w:rPr>
          <w:rFonts w:ascii="Georgia" w:hAnsi="Georgia"/>
        </w:rPr>
        <w:t xml:space="preserve">Nel settore </w:t>
      </w:r>
      <w:r w:rsidRPr="005E2B73">
        <w:rPr>
          <w:rFonts w:ascii="Georgia" w:hAnsi="Georgia"/>
          <w:b/>
        </w:rPr>
        <w:t>Edilizia</w:t>
      </w:r>
      <w:r w:rsidR="00BA3DD7">
        <w:rPr>
          <w:rFonts w:ascii="Georgia" w:hAnsi="Georgia"/>
          <w:b/>
        </w:rPr>
        <w:t xml:space="preserve"> e impianti</w:t>
      </w:r>
      <w:r w:rsidRPr="005E2B73">
        <w:rPr>
          <w:rFonts w:ascii="Georgia" w:hAnsi="Georgia"/>
        </w:rPr>
        <w:t xml:space="preserve"> si punta sul miglioramento dell’</w:t>
      </w:r>
      <w:r w:rsidRPr="005E2B73">
        <w:rPr>
          <w:rFonts w:ascii="Georgia" w:hAnsi="Georgia"/>
          <w:b/>
        </w:rPr>
        <w:t>efficienza energetica degli edifici</w:t>
      </w:r>
      <w:r w:rsidRPr="005E2B73">
        <w:rPr>
          <w:rFonts w:ascii="Georgia" w:hAnsi="Georgia"/>
        </w:rPr>
        <w:t>, sulle installazioni termiche e di illuminazione del parco edilizio esistente</w:t>
      </w:r>
      <w:r w:rsidR="0068514B">
        <w:rPr>
          <w:rFonts w:ascii="Georgia" w:hAnsi="Georgia"/>
        </w:rPr>
        <w:t xml:space="preserve">, </w:t>
      </w:r>
      <w:r w:rsidRPr="005E2B73">
        <w:rPr>
          <w:rFonts w:ascii="Georgia" w:hAnsi="Georgia"/>
        </w:rPr>
        <w:t xml:space="preserve">sul miglioramento dell’efficienza energetica degli impianti di refrigerazione commerciale, nonché sulla costruzione e la riabilitazione di 8,2 milioni di mq all’anno ad alta qualificazione energetica e la costruzione di edifici con consumo di energia </w:t>
      </w:r>
      <w:r w:rsidR="0068514B">
        <w:rPr>
          <w:rFonts w:ascii="Georgia" w:hAnsi="Georgia"/>
        </w:rPr>
        <w:t xml:space="preserve">pari </w:t>
      </w:r>
      <w:r w:rsidRPr="005E2B73">
        <w:rPr>
          <w:rFonts w:ascii="Georgia" w:hAnsi="Georgia"/>
        </w:rPr>
        <w:t xml:space="preserve">quasi </w:t>
      </w:r>
      <w:r w:rsidR="0068514B">
        <w:rPr>
          <w:rFonts w:ascii="Georgia" w:hAnsi="Georgia"/>
        </w:rPr>
        <w:t xml:space="preserve">a </w:t>
      </w:r>
      <w:r w:rsidRPr="005E2B73">
        <w:rPr>
          <w:rFonts w:ascii="Georgia" w:hAnsi="Georgia"/>
        </w:rPr>
        <w:t xml:space="preserve">zero. Nel settore è fondamentale altresì la </w:t>
      </w:r>
      <w:r w:rsidR="0068514B">
        <w:rPr>
          <w:rFonts w:ascii="Georgia" w:hAnsi="Georgia"/>
        </w:rPr>
        <w:t>prosecu</w:t>
      </w:r>
      <w:r w:rsidRPr="005E2B73">
        <w:rPr>
          <w:rFonts w:ascii="Georgia" w:hAnsi="Georgia"/>
        </w:rPr>
        <w:t>zione del Piano di rinnovo degli elettrodomestici (</w:t>
      </w:r>
      <w:r w:rsidRPr="005E2B73">
        <w:rPr>
          <w:rFonts w:ascii="Georgia" w:hAnsi="Georgia"/>
          <w:i/>
        </w:rPr>
        <w:t xml:space="preserve">Plan </w:t>
      </w:r>
      <w:proofErr w:type="spellStart"/>
      <w:r w:rsidRPr="005E2B73">
        <w:rPr>
          <w:rFonts w:ascii="Georgia" w:hAnsi="Georgia"/>
          <w:i/>
        </w:rPr>
        <w:t>Renove</w:t>
      </w:r>
      <w:proofErr w:type="spellEnd"/>
      <w:r w:rsidRPr="005E2B73">
        <w:rPr>
          <w:rFonts w:ascii="Georgia" w:hAnsi="Georgia"/>
          <w:i/>
        </w:rPr>
        <w:t xml:space="preserve"> de </w:t>
      </w:r>
      <w:proofErr w:type="spellStart"/>
      <w:r w:rsidRPr="005E2B73">
        <w:rPr>
          <w:rFonts w:ascii="Georgia" w:hAnsi="Georgia"/>
          <w:i/>
        </w:rPr>
        <w:t>Electrodomésticos</w:t>
      </w:r>
      <w:proofErr w:type="spellEnd"/>
      <w:r w:rsidRPr="005E2B73">
        <w:rPr>
          <w:rFonts w:ascii="Georgia" w:hAnsi="Georgia"/>
        </w:rPr>
        <w:t>) con l’obiettivo di sostituire 500.000 pezzi all’anno.</w:t>
      </w:r>
    </w:p>
    <w:p w:rsidR="00F736C2" w:rsidRPr="005E2B73" w:rsidRDefault="00F736C2" w:rsidP="00F736C2">
      <w:pPr>
        <w:spacing w:after="120"/>
        <w:ind w:firstLine="357"/>
        <w:jc w:val="both"/>
        <w:rPr>
          <w:rFonts w:ascii="Georgia" w:hAnsi="Georgia"/>
        </w:rPr>
      </w:pPr>
      <w:r w:rsidRPr="005E2B73">
        <w:rPr>
          <w:rFonts w:ascii="Georgia" w:hAnsi="Georgia"/>
        </w:rPr>
        <w:t xml:space="preserve">Nel settore </w:t>
      </w:r>
      <w:r w:rsidRPr="005E2B73">
        <w:rPr>
          <w:rFonts w:ascii="Georgia" w:hAnsi="Georgia"/>
          <w:b/>
        </w:rPr>
        <w:t>Servizi pubblici</w:t>
      </w:r>
      <w:r w:rsidRPr="005E2B73">
        <w:rPr>
          <w:rFonts w:ascii="Georgia" w:hAnsi="Georgia"/>
        </w:rPr>
        <w:t xml:space="preserve"> si propone il miglioramento dell’</w:t>
      </w:r>
      <w:r w:rsidRPr="005E2B73">
        <w:rPr>
          <w:rFonts w:ascii="Georgia" w:hAnsi="Georgia"/>
          <w:b/>
        </w:rPr>
        <w:t>efficienza energetica degli impianti di illuminazione pubblici esterni</w:t>
      </w:r>
      <w:r w:rsidRPr="005E2B73">
        <w:rPr>
          <w:rFonts w:ascii="Georgia" w:hAnsi="Georgia"/>
        </w:rPr>
        <w:t xml:space="preserve"> e degli impianti di potabilizzazione, trattamento, depurazione delle acque reflue e desalinizzazione, oltre alla formazione dei gestori energetici municipali e la realizzazione di studi e analisi.</w:t>
      </w:r>
    </w:p>
    <w:p w:rsidR="00F736C2" w:rsidRPr="005E2B73" w:rsidRDefault="00F736C2" w:rsidP="00F736C2">
      <w:pPr>
        <w:spacing w:after="120"/>
        <w:ind w:firstLine="357"/>
        <w:jc w:val="both"/>
        <w:rPr>
          <w:rFonts w:ascii="Georgia" w:hAnsi="Georgia"/>
        </w:rPr>
      </w:pPr>
      <w:r w:rsidRPr="005E2B73">
        <w:rPr>
          <w:rFonts w:ascii="Georgia" w:hAnsi="Georgia"/>
        </w:rPr>
        <w:t xml:space="preserve">Nel settore </w:t>
      </w:r>
      <w:r w:rsidRPr="005E2B73">
        <w:rPr>
          <w:rFonts w:ascii="Georgia" w:hAnsi="Georgia"/>
          <w:b/>
        </w:rPr>
        <w:t>Agricoltura e pesca</w:t>
      </w:r>
      <w:r w:rsidRPr="005E2B73">
        <w:rPr>
          <w:rFonts w:ascii="Georgia" w:hAnsi="Georgia"/>
        </w:rPr>
        <w:t xml:space="preserve"> il Piano include misure per il miglioramento dell’efficienza energetica degli </w:t>
      </w:r>
      <w:r w:rsidRPr="004F4BBB">
        <w:rPr>
          <w:rFonts w:ascii="Georgia" w:hAnsi="Georgia"/>
          <w:b/>
        </w:rPr>
        <w:t>impianti di irrigazione</w:t>
      </w:r>
      <w:r w:rsidRPr="005E2B73">
        <w:rPr>
          <w:rFonts w:ascii="Georgia" w:hAnsi="Georgia"/>
        </w:rPr>
        <w:t xml:space="preserve">, sostegno alla migrazione verso l’agricoltura di conservazione e </w:t>
      </w:r>
      <w:r w:rsidR="00A837F1">
        <w:rPr>
          <w:rFonts w:ascii="Georgia" w:hAnsi="Georgia"/>
        </w:rPr>
        <w:t xml:space="preserve">al passaggio </w:t>
      </w:r>
      <w:r w:rsidRPr="005E2B73">
        <w:rPr>
          <w:rFonts w:ascii="Georgia" w:hAnsi="Georgia"/>
        </w:rPr>
        <w:t>d</w:t>
      </w:r>
      <w:r w:rsidR="00A837F1">
        <w:rPr>
          <w:rFonts w:ascii="Georgia" w:hAnsi="Georgia"/>
        </w:rPr>
        <w:t>a</w:t>
      </w:r>
      <w:r w:rsidRPr="005E2B73">
        <w:rPr>
          <w:rFonts w:ascii="Georgia" w:hAnsi="Georgia"/>
        </w:rPr>
        <w:t xml:space="preserve">i sistemi di irrigazione per aspersione </w:t>
      </w:r>
      <w:r w:rsidR="00A837F1">
        <w:rPr>
          <w:rFonts w:ascii="Georgia" w:hAnsi="Georgia"/>
        </w:rPr>
        <w:t>a</w:t>
      </w:r>
      <w:r w:rsidRPr="005E2B73">
        <w:rPr>
          <w:rFonts w:ascii="Georgia" w:hAnsi="Georgia"/>
        </w:rPr>
        <w:t xml:space="preserve"> sistemi di irrigazione localizzati, oltre a misure di promozione e formazione sulle tecniche di uso efficiente dell’energia nel settore agrario e ittico e al rinnovamento dei macchinari.</w:t>
      </w:r>
    </w:p>
    <w:p w:rsidR="00F736C2" w:rsidRPr="005E2B73" w:rsidRDefault="00BA3DD7" w:rsidP="00F736C2">
      <w:pPr>
        <w:spacing w:after="120"/>
        <w:ind w:firstLine="357"/>
        <w:jc w:val="both"/>
        <w:rPr>
          <w:rFonts w:ascii="Georgia" w:hAnsi="Georgia"/>
        </w:rPr>
      </w:pPr>
      <w:r>
        <w:rPr>
          <w:rFonts w:ascii="Georgia" w:hAnsi="Georgia"/>
        </w:rPr>
        <w:t>Infine, n</w:t>
      </w:r>
      <w:r w:rsidR="00F736C2" w:rsidRPr="005E2B73">
        <w:rPr>
          <w:rFonts w:ascii="Georgia" w:hAnsi="Georgia"/>
        </w:rPr>
        <w:t xml:space="preserve">el settore </w:t>
      </w:r>
      <w:r w:rsidR="00F736C2" w:rsidRPr="005E2B73">
        <w:rPr>
          <w:rFonts w:ascii="Georgia" w:hAnsi="Georgia"/>
          <w:b/>
        </w:rPr>
        <w:t>Trasformazione dell’energia</w:t>
      </w:r>
      <w:r w:rsidR="00F736C2" w:rsidRPr="005E2B73">
        <w:rPr>
          <w:rFonts w:ascii="Georgia" w:hAnsi="Georgia"/>
        </w:rPr>
        <w:t xml:space="preserve"> l’obiettivo è l’installazione di 3.751 MW di </w:t>
      </w:r>
      <w:r w:rsidR="00F736C2" w:rsidRPr="004F4BBB">
        <w:rPr>
          <w:rFonts w:ascii="Georgia" w:hAnsi="Georgia"/>
          <w:b/>
        </w:rPr>
        <w:t>nuova potenza di cogenerazione</w:t>
      </w:r>
      <w:r w:rsidR="00F736C2" w:rsidRPr="005E2B73">
        <w:rPr>
          <w:rFonts w:ascii="Georgia" w:hAnsi="Georgia"/>
        </w:rPr>
        <w:t>, entro il 2020, e il rinnovamento fino a 3.925 MW di potenza di cogenerazione con oltre 15 anni di età. Si prevedono sostegni specifici per la cogenerazione di piccola potenza e le cogenerazioni non industriali.</w:t>
      </w:r>
    </w:p>
    <w:p w:rsidR="00F736C2" w:rsidRPr="005E2B73" w:rsidRDefault="00F736C2" w:rsidP="00F736C2">
      <w:pPr>
        <w:spacing w:after="120"/>
        <w:ind w:firstLine="357"/>
        <w:jc w:val="both"/>
        <w:rPr>
          <w:rFonts w:ascii="Georgia" w:hAnsi="Georgia"/>
        </w:rPr>
      </w:pPr>
      <w:r w:rsidRPr="005E2B73">
        <w:rPr>
          <w:rFonts w:ascii="Georgia" w:hAnsi="Georgia"/>
        </w:rPr>
        <w:t xml:space="preserve">Gli obiettivi di risparmio di energia finale e primaria del Piano sono possibili come risultato di investimenti equivalenti a </w:t>
      </w:r>
      <w:r w:rsidRPr="005E2B73">
        <w:rPr>
          <w:rFonts w:ascii="Georgia" w:hAnsi="Georgia"/>
          <w:b/>
        </w:rPr>
        <w:t>45.985 milioni di euro dal 2011 al 2020</w:t>
      </w:r>
      <w:r w:rsidRPr="005E2B73">
        <w:rPr>
          <w:rFonts w:ascii="Georgia" w:hAnsi="Georgia"/>
        </w:rPr>
        <w:t xml:space="preserve">, che </w:t>
      </w:r>
      <w:r w:rsidR="00A837F1">
        <w:rPr>
          <w:rFonts w:ascii="Georgia" w:hAnsi="Georgia"/>
        </w:rPr>
        <w:t xml:space="preserve">si traduce in </w:t>
      </w:r>
      <w:r w:rsidRPr="005E2B73">
        <w:rPr>
          <w:rFonts w:ascii="Georgia" w:hAnsi="Georgia"/>
        </w:rPr>
        <w:t>una media annuale di 4.598 milioni.</w:t>
      </w:r>
    </w:p>
    <w:p w:rsidR="00F736C2" w:rsidRPr="005E2B73" w:rsidRDefault="00F736C2" w:rsidP="00F736C2">
      <w:pPr>
        <w:spacing w:after="120"/>
        <w:ind w:firstLine="357"/>
        <w:jc w:val="both"/>
        <w:rPr>
          <w:rFonts w:ascii="Georgia" w:hAnsi="Georgia"/>
        </w:rPr>
      </w:pPr>
      <w:r w:rsidRPr="005E2B73">
        <w:rPr>
          <w:rFonts w:ascii="Georgia" w:hAnsi="Georgia"/>
        </w:rPr>
        <w:t xml:space="preserve">I risparmi si </w:t>
      </w:r>
      <w:r w:rsidR="00A837F1">
        <w:rPr>
          <w:rFonts w:ascii="Georgia" w:hAnsi="Georgia"/>
        </w:rPr>
        <w:t xml:space="preserve">concretizzano </w:t>
      </w:r>
      <w:r w:rsidRPr="005E2B73">
        <w:rPr>
          <w:rFonts w:ascii="Georgia" w:hAnsi="Georgia"/>
        </w:rPr>
        <w:t xml:space="preserve">in benefici economici diretti per la riduzione delle importazioni di petrolio greggio e per le minori emissioni di gas serra. Altri impatti, diretti o indiretti, derivanti dalle misure di risparmio ed efficienza </w:t>
      </w:r>
      <w:r w:rsidRPr="005E2B73">
        <w:rPr>
          <w:rFonts w:ascii="Georgia" w:hAnsi="Georgia"/>
        </w:rPr>
        <w:lastRenderedPageBreak/>
        <w:t>energetica sono legati alla creazione di occupazione e all’incremento del prodotto interno lordo.</w:t>
      </w:r>
    </w:p>
    <w:p w:rsidR="00F736C2" w:rsidRPr="005E2B73" w:rsidRDefault="00F736C2" w:rsidP="00F736C2">
      <w:pPr>
        <w:spacing w:after="120"/>
        <w:ind w:firstLine="357"/>
        <w:jc w:val="both"/>
        <w:rPr>
          <w:rFonts w:ascii="Georgia" w:hAnsi="Georgia"/>
        </w:rPr>
      </w:pPr>
      <w:r w:rsidRPr="005E2B73">
        <w:rPr>
          <w:rFonts w:ascii="Georgia" w:hAnsi="Georgia"/>
        </w:rPr>
        <w:t>In sintesi il settore dell’efficienza energetica rappresenta l’1,8% del PIL e l</w:t>
      </w:r>
      <w:r w:rsidR="00A837F1">
        <w:rPr>
          <w:rFonts w:ascii="Georgia" w:hAnsi="Georgia"/>
        </w:rPr>
        <w:t>’</w:t>
      </w:r>
      <w:r w:rsidRPr="005E2B73">
        <w:rPr>
          <w:rFonts w:ascii="Georgia" w:hAnsi="Georgia"/>
        </w:rPr>
        <w:t>1,4% dell'occupazione totale (considerato l’impatto totale, vale a dire gli effetti diretti, indiretti e indotti). Il peso del settore dell’efficienza energetica crescerà fino al 2020, in maniera che l’ampiezza del settore aumenterà dallo 0,8% fino all’1,6% nel 2020 (dall’1,8% del PIL al 3,9% nel 2020, considerando gli effetti indiretti e indotti). In termini di occupazione diretta, il settore industria occuperà circa 300.000 persone nel 2020 (più di 750.000 in termini di occupazione totale).</w:t>
      </w:r>
    </w:p>
    <w:p w:rsidR="00F736C2" w:rsidRPr="005E2B73" w:rsidRDefault="00F736C2" w:rsidP="00F736C2">
      <w:pPr>
        <w:spacing w:after="120"/>
        <w:ind w:firstLine="357"/>
        <w:jc w:val="both"/>
        <w:rPr>
          <w:rFonts w:ascii="Georgia" w:hAnsi="Georgia"/>
        </w:rPr>
      </w:pPr>
      <w:r w:rsidRPr="005E2B73">
        <w:rPr>
          <w:rFonts w:ascii="Georgia" w:hAnsi="Georgia"/>
        </w:rPr>
        <w:t xml:space="preserve">Nel </w:t>
      </w:r>
      <w:r w:rsidRPr="005E2B73">
        <w:rPr>
          <w:rFonts w:ascii="Georgia" w:hAnsi="Georgia"/>
          <w:b/>
        </w:rPr>
        <w:t>Piano nazionale d’azione di efficienza energetica</w:t>
      </w:r>
      <w:r w:rsidRPr="005E2B73">
        <w:rPr>
          <w:rFonts w:ascii="Georgia" w:hAnsi="Georgia"/>
        </w:rPr>
        <w:t xml:space="preserve"> (</w:t>
      </w:r>
      <w:hyperlink r:id="rId38" w:history="1">
        <w:r w:rsidRPr="0063410C">
          <w:rPr>
            <w:rStyle w:val="Collegamentoipertestuale"/>
            <w:rFonts w:ascii="Georgia" w:hAnsi="Georgia"/>
            <w:i/>
          </w:rPr>
          <w:t xml:space="preserve">Plan </w:t>
        </w:r>
        <w:proofErr w:type="spellStart"/>
        <w:r w:rsidRPr="0063410C">
          <w:rPr>
            <w:rStyle w:val="Collegamentoipertestuale"/>
            <w:rFonts w:ascii="Georgia" w:hAnsi="Georgia"/>
            <w:i/>
          </w:rPr>
          <w:t>Nacional</w:t>
        </w:r>
        <w:proofErr w:type="spellEnd"/>
        <w:r w:rsidRPr="0063410C">
          <w:rPr>
            <w:rStyle w:val="Collegamentoipertestuale"/>
            <w:rFonts w:ascii="Georgia" w:hAnsi="Georgia"/>
            <w:i/>
          </w:rPr>
          <w:t xml:space="preserve"> de </w:t>
        </w:r>
        <w:proofErr w:type="spellStart"/>
        <w:r w:rsidRPr="0063410C">
          <w:rPr>
            <w:rStyle w:val="Collegamentoipertestuale"/>
            <w:rFonts w:ascii="Georgia" w:hAnsi="Georgia"/>
            <w:i/>
          </w:rPr>
          <w:t>Acción</w:t>
        </w:r>
        <w:proofErr w:type="spellEnd"/>
        <w:r w:rsidRPr="0063410C">
          <w:rPr>
            <w:rStyle w:val="Collegamentoipertestuale"/>
            <w:rFonts w:ascii="Georgia" w:hAnsi="Georgia"/>
            <w:i/>
          </w:rPr>
          <w:t xml:space="preserve"> de </w:t>
        </w:r>
        <w:proofErr w:type="spellStart"/>
        <w:r w:rsidRPr="0063410C">
          <w:rPr>
            <w:rStyle w:val="Collegamentoipertestuale"/>
            <w:rFonts w:ascii="Georgia" w:hAnsi="Georgia"/>
            <w:i/>
          </w:rPr>
          <w:t>Eficiencia</w:t>
        </w:r>
        <w:proofErr w:type="spellEnd"/>
        <w:r w:rsidRPr="0063410C">
          <w:rPr>
            <w:rStyle w:val="Collegamentoipertestuale"/>
            <w:rFonts w:ascii="Georgia" w:hAnsi="Georgia"/>
            <w:i/>
          </w:rPr>
          <w:t xml:space="preserve"> </w:t>
        </w:r>
        <w:proofErr w:type="spellStart"/>
        <w:r w:rsidRPr="0063410C">
          <w:rPr>
            <w:rStyle w:val="Collegamentoipertestuale"/>
            <w:rFonts w:ascii="Georgia" w:hAnsi="Georgia"/>
            <w:i/>
          </w:rPr>
          <w:t>Energética</w:t>
        </w:r>
        <w:proofErr w:type="spellEnd"/>
        <w:r w:rsidRPr="0063410C">
          <w:rPr>
            <w:rStyle w:val="Collegamentoipertestuale"/>
            <w:rFonts w:ascii="Georgia" w:hAnsi="Georgia"/>
            <w:i/>
          </w:rPr>
          <w:t xml:space="preserve"> 2014-2020</w:t>
        </w:r>
      </w:hyperlink>
      <w:r w:rsidR="00BA3DD7">
        <w:rPr>
          <w:rFonts w:ascii="Georgia" w:hAnsi="Georgia"/>
        </w:rPr>
        <w:t>, 30 aprile 2014)</w:t>
      </w:r>
      <w:r w:rsidRPr="005E2B73">
        <w:rPr>
          <w:rFonts w:ascii="Georgia" w:hAnsi="Georgia"/>
        </w:rPr>
        <w:t xml:space="preserve"> inviato all’Unione europea, il Governo spagnolo ribadisce gli obiettivi nazionali di efficienza energetica </w:t>
      </w:r>
      <w:r w:rsidR="009467C2">
        <w:rPr>
          <w:rFonts w:ascii="Georgia" w:hAnsi="Georgia"/>
        </w:rPr>
        <w:t xml:space="preserve">già fissati nel piano d’azione del 2011 </w:t>
      </w:r>
      <w:r w:rsidRPr="005E2B73">
        <w:rPr>
          <w:rFonts w:ascii="Georgia" w:hAnsi="Georgia"/>
        </w:rPr>
        <w:t>e analizza i risultati ottenuti</w:t>
      </w:r>
      <w:r w:rsidR="009467C2">
        <w:rPr>
          <w:rFonts w:ascii="Georgia" w:hAnsi="Georgia"/>
        </w:rPr>
        <w:t xml:space="preserve"> fino a quel momento</w:t>
      </w:r>
      <w:r w:rsidRPr="005E2B73">
        <w:rPr>
          <w:rFonts w:ascii="Georgia" w:hAnsi="Georgia"/>
        </w:rPr>
        <w:t>.</w:t>
      </w:r>
    </w:p>
    <w:p w:rsidR="009467C2" w:rsidRDefault="009467C2" w:rsidP="00F736C2">
      <w:pPr>
        <w:spacing w:after="120"/>
        <w:ind w:firstLine="357"/>
        <w:jc w:val="both"/>
        <w:rPr>
          <w:rFonts w:ascii="Georgia" w:hAnsi="Georgia"/>
        </w:rPr>
      </w:pPr>
      <w:r>
        <w:rPr>
          <w:rFonts w:ascii="Georgia" w:hAnsi="Georgia"/>
        </w:rPr>
        <w:t xml:space="preserve">Gli obiettivi </w:t>
      </w:r>
      <w:r w:rsidR="00E228D4">
        <w:rPr>
          <w:rFonts w:ascii="Georgia" w:hAnsi="Georgia"/>
        </w:rPr>
        <w:t xml:space="preserve">di efficienza energetica </w:t>
      </w:r>
      <w:r>
        <w:rPr>
          <w:rFonts w:ascii="Georgia" w:hAnsi="Georgia"/>
        </w:rPr>
        <w:t>da conseguire sono i seguenti:</w:t>
      </w:r>
    </w:p>
    <w:p w:rsidR="00F736C2" w:rsidRPr="009467C2" w:rsidRDefault="009467C2" w:rsidP="009467C2">
      <w:pPr>
        <w:pStyle w:val="Paragrafoelenco"/>
        <w:numPr>
          <w:ilvl w:val="0"/>
          <w:numId w:val="17"/>
        </w:numPr>
        <w:spacing w:after="60"/>
        <w:ind w:left="709" w:hanging="425"/>
        <w:contextualSpacing w:val="0"/>
        <w:jc w:val="both"/>
        <w:rPr>
          <w:rFonts w:ascii="Georgia" w:hAnsi="Georgia"/>
        </w:rPr>
      </w:pPr>
      <w:r>
        <w:rPr>
          <w:rFonts w:ascii="Georgia" w:hAnsi="Georgia"/>
        </w:rPr>
        <w:t>i</w:t>
      </w:r>
      <w:r w:rsidR="00F736C2" w:rsidRPr="009467C2">
        <w:rPr>
          <w:rFonts w:ascii="Georgia" w:hAnsi="Georgia"/>
        </w:rPr>
        <w:t xml:space="preserve">l 54,6% (311,6 </w:t>
      </w:r>
      <w:proofErr w:type="spellStart"/>
      <w:r w:rsidR="00F736C2" w:rsidRPr="009467C2">
        <w:rPr>
          <w:rFonts w:ascii="Georgia" w:hAnsi="Georgia"/>
        </w:rPr>
        <w:t>ktep</w:t>
      </w:r>
      <w:proofErr w:type="spellEnd"/>
      <w:r w:rsidR="00F736C2" w:rsidRPr="009467C2">
        <w:rPr>
          <w:rFonts w:ascii="Georgia" w:hAnsi="Georgia"/>
        </w:rPr>
        <w:t xml:space="preserve"> all’anno) deve </w:t>
      </w:r>
      <w:r w:rsidR="00E228D4">
        <w:rPr>
          <w:rFonts w:ascii="Georgia" w:hAnsi="Georgia"/>
        </w:rPr>
        <w:t xml:space="preserve">essere </w:t>
      </w:r>
      <w:r w:rsidR="00F736C2" w:rsidRPr="009467C2">
        <w:rPr>
          <w:rFonts w:ascii="Georgia" w:hAnsi="Georgia"/>
        </w:rPr>
        <w:t>consegui</w:t>
      </w:r>
      <w:r w:rsidR="00E96DF0">
        <w:rPr>
          <w:rFonts w:ascii="Georgia" w:hAnsi="Georgia"/>
        </w:rPr>
        <w:t>to</w:t>
      </w:r>
      <w:r w:rsidR="00F736C2" w:rsidRPr="009467C2">
        <w:rPr>
          <w:rFonts w:ascii="Georgia" w:hAnsi="Georgia"/>
        </w:rPr>
        <w:t xml:space="preserve"> mediante la realizzazione di misure di risparmio ed efficienza nel settore Industria. La misura più importante è costituita dall’adozione delle </w:t>
      </w:r>
      <w:r>
        <w:rPr>
          <w:rFonts w:ascii="Georgia" w:hAnsi="Georgia"/>
        </w:rPr>
        <w:t>migliori tecnologie disponibili;</w:t>
      </w:r>
    </w:p>
    <w:p w:rsidR="00F736C2" w:rsidRPr="009467C2" w:rsidRDefault="009467C2" w:rsidP="009467C2">
      <w:pPr>
        <w:pStyle w:val="Paragrafoelenco"/>
        <w:numPr>
          <w:ilvl w:val="0"/>
          <w:numId w:val="17"/>
        </w:numPr>
        <w:spacing w:after="60"/>
        <w:ind w:left="709" w:hanging="425"/>
        <w:contextualSpacing w:val="0"/>
        <w:jc w:val="both"/>
        <w:rPr>
          <w:rFonts w:ascii="Georgia" w:hAnsi="Georgia"/>
        </w:rPr>
      </w:pPr>
      <w:r>
        <w:rPr>
          <w:rFonts w:ascii="Georgia" w:hAnsi="Georgia"/>
        </w:rPr>
        <w:t>i</w:t>
      </w:r>
      <w:r w:rsidR="00F736C2" w:rsidRPr="009467C2">
        <w:rPr>
          <w:rFonts w:ascii="Georgia" w:hAnsi="Georgia"/>
        </w:rPr>
        <w:t xml:space="preserve">l 25,3% (144,1 </w:t>
      </w:r>
      <w:proofErr w:type="spellStart"/>
      <w:r w:rsidR="00F736C2" w:rsidRPr="009467C2">
        <w:rPr>
          <w:rFonts w:ascii="Georgia" w:hAnsi="Georgia"/>
        </w:rPr>
        <w:t>ktep</w:t>
      </w:r>
      <w:proofErr w:type="spellEnd"/>
      <w:r w:rsidR="00F736C2" w:rsidRPr="009467C2">
        <w:rPr>
          <w:rFonts w:ascii="Georgia" w:hAnsi="Georgia"/>
        </w:rPr>
        <w:t xml:space="preserve"> all’anno) deve essere </w:t>
      </w:r>
      <w:r w:rsidR="00E228D4">
        <w:rPr>
          <w:rFonts w:ascii="Georgia" w:hAnsi="Georgia"/>
        </w:rPr>
        <w:t>ottenu</w:t>
      </w:r>
      <w:r w:rsidR="00F736C2" w:rsidRPr="009467C2">
        <w:rPr>
          <w:rFonts w:ascii="Georgia" w:hAnsi="Georgia"/>
        </w:rPr>
        <w:t>to nel settore Trasporti, essenzialmente mediante misure di cambio modale, interventi di mobilità sostenibile e piani d</w:t>
      </w:r>
      <w:r>
        <w:rPr>
          <w:rFonts w:ascii="Georgia" w:hAnsi="Georgia"/>
        </w:rPr>
        <w:t>i trasporto sui posti di lavoro;</w:t>
      </w:r>
    </w:p>
    <w:p w:rsidR="00F736C2" w:rsidRPr="009467C2" w:rsidRDefault="009467C2" w:rsidP="009467C2">
      <w:pPr>
        <w:pStyle w:val="Paragrafoelenco"/>
        <w:numPr>
          <w:ilvl w:val="0"/>
          <w:numId w:val="17"/>
        </w:numPr>
        <w:spacing w:after="60"/>
        <w:ind w:left="709" w:hanging="425"/>
        <w:contextualSpacing w:val="0"/>
        <w:jc w:val="both"/>
        <w:rPr>
          <w:rFonts w:ascii="Georgia" w:hAnsi="Georgia"/>
        </w:rPr>
      </w:pPr>
      <w:r>
        <w:rPr>
          <w:rFonts w:ascii="Georgia" w:hAnsi="Georgia"/>
        </w:rPr>
        <w:t>i</w:t>
      </w:r>
      <w:r w:rsidR="00F736C2" w:rsidRPr="009467C2">
        <w:rPr>
          <w:rFonts w:ascii="Georgia" w:hAnsi="Georgia"/>
        </w:rPr>
        <w:t xml:space="preserve">l 15,3% (87,1 </w:t>
      </w:r>
      <w:proofErr w:type="spellStart"/>
      <w:r w:rsidR="00F736C2" w:rsidRPr="009467C2">
        <w:rPr>
          <w:rFonts w:ascii="Georgia" w:hAnsi="Georgia"/>
        </w:rPr>
        <w:t>ktep</w:t>
      </w:r>
      <w:proofErr w:type="spellEnd"/>
      <w:r w:rsidR="00F736C2" w:rsidRPr="009467C2">
        <w:rPr>
          <w:rFonts w:ascii="Georgia" w:hAnsi="Georgia"/>
        </w:rPr>
        <w:t xml:space="preserve"> all’anno) si realizza mediante misure </w:t>
      </w:r>
      <w:r w:rsidRPr="009467C2">
        <w:rPr>
          <w:rFonts w:ascii="Georgia" w:hAnsi="Georgia"/>
        </w:rPr>
        <w:t>n</w:t>
      </w:r>
      <w:r w:rsidR="00F736C2" w:rsidRPr="009467C2">
        <w:rPr>
          <w:rFonts w:ascii="Georgia" w:hAnsi="Georgia"/>
        </w:rPr>
        <w:t xml:space="preserve">el settore Edilizia e Impianti. Il risultato </w:t>
      </w:r>
      <w:r w:rsidR="00E228D4">
        <w:rPr>
          <w:rFonts w:ascii="Georgia" w:hAnsi="Georgia"/>
        </w:rPr>
        <w:t>va raggiunto</w:t>
      </w:r>
      <w:r w:rsidR="00F736C2" w:rsidRPr="009467C2">
        <w:rPr>
          <w:rFonts w:ascii="Georgia" w:hAnsi="Georgia"/>
        </w:rPr>
        <w:t xml:space="preserve"> mediante riabilitazione energetica dell’involucro termico degli edifici esistenti, migliorando l’efficienza energetica degli impianti di riscaldamento termico, aria condizionata e acqua calda, illuminazione, ascensori e altri sistemi di</w:t>
      </w:r>
      <w:r>
        <w:rPr>
          <w:rFonts w:ascii="Georgia" w:hAnsi="Georgia"/>
        </w:rPr>
        <w:t xml:space="preserve"> trasporto e impianti elettrici;</w:t>
      </w:r>
    </w:p>
    <w:p w:rsidR="00F736C2" w:rsidRPr="009467C2" w:rsidRDefault="009467C2" w:rsidP="009467C2">
      <w:pPr>
        <w:pStyle w:val="Paragrafoelenco"/>
        <w:numPr>
          <w:ilvl w:val="0"/>
          <w:numId w:val="17"/>
        </w:numPr>
        <w:spacing w:after="60"/>
        <w:ind w:left="709" w:hanging="425"/>
        <w:contextualSpacing w:val="0"/>
        <w:jc w:val="both"/>
        <w:rPr>
          <w:rFonts w:ascii="Georgia" w:hAnsi="Georgia"/>
        </w:rPr>
      </w:pPr>
      <w:r>
        <w:rPr>
          <w:rFonts w:ascii="Georgia" w:hAnsi="Georgia"/>
        </w:rPr>
        <w:t>i</w:t>
      </w:r>
      <w:r w:rsidR="00F736C2" w:rsidRPr="009467C2">
        <w:rPr>
          <w:rFonts w:ascii="Georgia" w:hAnsi="Georgia"/>
        </w:rPr>
        <w:t xml:space="preserve">l 2,2% (12,3 </w:t>
      </w:r>
      <w:proofErr w:type="spellStart"/>
      <w:r w:rsidR="00F736C2" w:rsidRPr="009467C2">
        <w:rPr>
          <w:rFonts w:ascii="Georgia" w:hAnsi="Georgia"/>
        </w:rPr>
        <w:t>ktep</w:t>
      </w:r>
      <w:proofErr w:type="spellEnd"/>
      <w:r w:rsidR="00F736C2" w:rsidRPr="009467C2">
        <w:rPr>
          <w:rFonts w:ascii="Georgia" w:hAnsi="Georgia"/>
        </w:rPr>
        <w:t xml:space="preserve"> all’anno) è relativo al settore Servizi pubblici, all’interno del quale gioca</w:t>
      </w:r>
      <w:r w:rsidR="00E228D4">
        <w:rPr>
          <w:rFonts w:ascii="Georgia" w:hAnsi="Georgia"/>
        </w:rPr>
        <w:t>no</w:t>
      </w:r>
      <w:r w:rsidR="00F736C2" w:rsidRPr="009467C2">
        <w:rPr>
          <w:rFonts w:ascii="Georgia" w:hAnsi="Georgia"/>
        </w:rPr>
        <w:t xml:space="preserve"> un ruolo primario le misure per il rin</w:t>
      </w:r>
      <w:r>
        <w:rPr>
          <w:rFonts w:ascii="Georgia" w:hAnsi="Georgia"/>
        </w:rPr>
        <w:t>novo dell’illuminazione esterna;</w:t>
      </w:r>
    </w:p>
    <w:p w:rsidR="00F736C2" w:rsidRPr="009467C2" w:rsidRDefault="009467C2" w:rsidP="009467C2">
      <w:pPr>
        <w:pStyle w:val="Paragrafoelenco"/>
        <w:numPr>
          <w:ilvl w:val="0"/>
          <w:numId w:val="17"/>
        </w:numPr>
        <w:spacing w:after="60"/>
        <w:ind w:left="709" w:hanging="425"/>
        <w:contextualSpacing w:val="0"/>
        <w:jc w:val="both"/>
        <w:rPr>
          <w:rFonts w:ascii="Georgia" w:hAnsi="Georgia"/>
        </w:rPr>
      </w:pPr>
      <w:r>
        <w:rPr>
          <w:rFonts w:ascii="Georgia" w:hAnsi="Georgia"/>
        </w:rPr>
        <w:t>l</w:t>
      </w:r>
      <w:r w:rsidR="00F736C2" w:rsidRPr="009467C2">
        <w:rPr>
          <w:rFonts w:ascii="Georgia" w:hAnsi="Georgia"/>
        </w:rPr>
        <w:t xml:space="preserve">’1,7% (9,5 </w:t>
      </w:r>
      <w:proofErr w:type="spellStart"/>
      <w:r w:rsidR="00F736C2" w:rsidRPr="009467C2">
        <w:rPr>
          <w:rFonts w:ascii="Georgia" w:hAnsi="Georgia"/>
        </w:rPr>
        <w:t>ktep</w:t>
      </w:r>
      <w:proofErr w:type="spellEnd"/>
      <w:r w:rsidR="00F736C2" w:rsidRPr="009467C2">
        <w:rPr>
          <w:rFonts w:ascii="Georgia" w:hAnsi="Georgia"/>
        </w:rPr>
        <w:t xml:space="preserve"> all’anno) </w:t>
      </w:r>
      <w:r w:rsidR="00E228D4">
        <w:rPr>
          <w:rFonts w:ascii="Georgia" w:hAnsi="Georgia"/>
        </w:rPr>
        <w:t>riguarda i</w:t>
      </w:r>
      <w:r w:rsidR="00F736C2" w:rsidRPr="009467C2">
        <w:rPr>
          <w:rFonts w:ascii="Georgia" w:hAnsi="Georgia"/>
        </w:rPr>
        <w:t>l settore Agricoltura e pesca, in cui appare fondamentale il miglioramento dell’efficienza energetica nelle aziende agricole e n</w:t>
      </w:r>
      <w:r>
        <w:rPr>
          <w:rFonts w:ascii="Georgia" w:hAnsi="Georgia"/>
        </w:rPr>
        <w:t>ell’uso delle macchine agricole;</w:t>
      </w:r>
    </w:p>
    <w:p w:rsidR="00F736C2" w:rsidRPr="009467C2" w:rsidRDefault="009467C2" w:rsidP="009467C2">
      <w:pPr>
        <w:pStyle w:val="Paragrafoelenco"/>
        <w:numPr>
          <w:ilvl w:val="0"/>
          <w:numId w:val="17"/>
        </w:numPr>
        <w:spacing w:after="120"/>
        <w:ind w:left="709" w:hanging="425"/>
        <w:jc w:val="both"/>
        <w:rPr>
          <w:rFonts w:ascii="Georgia" w:hAnsi="Georgia"/>
        </w:rPr>
      </w:pPr>
      <w:r>
        <w:rPr>
          <w:rFonts w:ascii="Georgia" w:hAnsi="Georgia"/>
        </w:rPr>
        <w:t>i</w:t>
      </w:r>
      <w:r w:rsidR="00F736C2" w:rsidRPr="009467C2">
        <w:rPr>
          <w:rFonts w:ascii="Georgia" w:hAnsi="Georgia"/>
        </w:rPr>
        <w:t>nfine</w:t>
      </w:r>
      <w:r>
        <w:rPr>
          <w:rFonts w:ascii="Georgia" w:hAnsi="Georgia"/>
        </w:rPr>
        <w:t>,</w:t>
      </w:r>
      <w:r w:rsidR="00F736C2" w:rsidRPr="009467C2">
        <w:rPr>
          <w:rFonts w:ascii="Georgia" w:hAnsi="Georgia"/>
        </w:rPr>
        <w:t xml:space="preserve"> l’1,1% (6 </w:t>
      </w:r>
      <w:proofErr w:type="spellStart"/>
      <w:r w:rsidR="00F736C2" w:rsidRPr="009467C2">
        <w:rPr>
          <w:rFonts w:ascii="Georgia" w:hAnsi="Georgia"/>
        </w:rPr>
        <w:t>ktep</w:t>
      </w:r>
      <w:proofErr w:type="spellEnd"/>
      <w:r w:rsidR="00F736C2" w:rsidRPr="009467C2">
        <w:rPr>
          <w:rFonts w:ascii="Georgia" w:hAnsi="Georgia"/>
        </w:rPr>
        <w:t xml:space="preserve"> all’anno) </w:t>
      </w:r>
      <w:r w:rsidR="00E228D4">
        <w:rPr>
          <w:rFonts w:ascii="Georgia" w:hAnsi="Georgia"/>
        </w:rPr>
        <w:t>concerne i</w:t>
      </w:r>
      <w:r w:rsidR="00F736C2" w:rsidRPr="009467C2">
        <w:rPr>
          <w:rFonts w:ascii="Georgia" w:hAnsi="Georgia"/>
        </w:rPr>
        <w:t>l settore Comunicazione.</w:t>
      </w:r>
    </w:p>
    <w:p w:rsidR="00F736C2" w:rsidRPr="005E2B73" w:rsidRDefault="00F736C2" w:rsidP="00F736C2">
      <w:pPr>
        <w:spacing w:after="120"/>
        <w:ind w:firstLine="357"/>
        <w:jc w:val="both"/>
        <w:rPr>
          <w:rFonts w:ascii="Georgia" w:hAnsi="Georgia"/>
        </w:rPr>
      </w:pPr>
      <w:r w:rsidRPr="005E2B73">
        <w:rPr>
          <w:rFonts w:ascii="Georgia" w:hAnsi="Georgia"/>
        </w:rPr>
        <w:t xml:space="preserve">A partire dagli anni 2000 le politiche energetiche spagnole hanno favorito una maggiore diffusione delle </w:t>
      </w:r>
      <w:r w:rsidRPr="005E2B73">
        <w:rPr>
          <w:rFonts w:ascii="Georgia" w:hAnsi="Georgia"/>
          <w:b/>
        </w:rPr>
        <w:t>energie rinnovabili</w:t>
      </w:r>
      <w:r w:rsidRPr="005E2B73">
        <w:rPr>
          <w:rFonts w:ascii="Georgia" w:hAnsi="Georgia"/>
        </w:rPr>
        <w:t xml:space="preserve"> e un maggiore grado di autosufficienza energetica. La crisi economica iniziata nel 2008 ha fatto però sentire i suoi effetti anche nei programmi di sviluppo delle energie rinnovabili, per cui taluni degli incentivi previsti originariamente in favore di questo settore sono stati ridotti o sospesi.</w:t>
      </w:r>
    </w:p>
    <w:p w:rsidR="00F736C2" w:rsidRPr="005E2B73" w:rsidRDefault="00F736C2" w:rsidP="00F736C2">
      <w:pPr>
        <w:spacing w:after="120"/>
        <w:ind w:firstLine="357"/>
        <w:jc w:val="both"/>
        <w:rPr>
          <w:rFonts w:ascii="Georgia" w:hAnsi="Georgia"/>
        </w:rPr>
      </w:pPr>
      <w:r w:rsidRPr="005E2B73">
        <w:rPr>
          <w:rFonts w:ascii="Georgia" w:hAnsi="Georgia"/>
        </w:rPr>
        <w:t xml:space="preserve">Nel </w:t>
      </w:r>
      <w:r w:rsidRPr="005E2B73">
        <w:rPr>
          <w:rFonts w:ascii="Georgia" w:hAnsi="Georgia"/>
          <w:b/>
        </w:rPr>
        <w:t>2011</w:t>
      </w:r>
      <w:r w:rsidRPr="005E2B73">
        <w:rPr>
          <w:rFonts w:ascii="Georgia" w:hAnsi="Georgia"/>
        </w:rPr>
        <w:t xml:space="preserve"> la </w:t>
      </w:r>
      <w:hyperlink r:id="rId39" w:history="1">
        <w:proofErr w:type="spellStart"/>
        <w:r w:rsidRPr="0063410C">
          <w:rPr>
            <w:rStyle w:val="Collegamentoipertestuale"/>
            <w:rFonts w:ascii="Georgia" w:hAnsi="Georgia"/>
            <w:i/>
          </w:rPr>
          <w:t>Ley</w:t>
        </w:r>
        <w:proofErr w:type="spellEnd"/>
        <w:r w:rsidRPr="0063410C">
          <w:rPr>
            <w:rStyle w:val="Collegamentoipertestuale"/>
            <w:rFonts w:ascii="Georgia" w:hAnsi="Georgia"/>
            <w:i/>
          </w:rPr>
          <w:t xml:space="preserve"> 2/2011, de 4 de marzo, de </w:t>
        </w:r>
        <w:proofErr w:type="spellStart"/>
        <w:r w:rsidRPr="0063410C">
          <w:rPr>
            <w:rStyle w:val="Collegamentoipertestuale"/>
            <w:rFonts w:ascii="Georgia" w:hAnsi="Georgia"/>
            <w:i/>
          </w:rPr>
          <w:t>Economía</w:t>
        </w:r>
        <w:proofErr w:type="spellEnd"/>
        <w:r w:rsidRPr="0063410C">
          <w:rPr>
            <w:rStyle w:val="Collegamentoipertestuale"/>
            <w:rFonts w:ascii="Georgia" w:hAnsi="Georgia"/>
            <w:i/>
          </w:rPr>
          <w:t xml:space="preserve"> </w:t>
        </w:r>
        <w:proofErr w:type="spellStart"/>
        <w:r w:rsidRPr="0063410C">
          <w:rPr>
            <w:rStyle w:val="Collegamentoipertestuale"/>
            <w:rFonts w:ascii="Georgia" w:hAnsi="Georgia"/>
            <w:i/>
          </w:rPr>
          <w:t>Sostenible</w:t>
        </w:r>
        <w:proofErr w:type="spellEnd"/>
      </w:hyperlink>
      <w:r w:rsidRPr="005E2B73">
        <w:rPr>
          <w:rFonts w:ascii="Georgia" w:hAnsi="Georgia"/>
        </w:rPr>
        <w:t xml:space="preserve"> ha previsto un ampio programma di riforme volte a una crescita equilibrata e duratura, </w:t>
      </w:r>
      <w:r w:rsidRPr="005E2B73">
        <w:rPr>
          <w:rFonts w:ascii="Georgia" w:hAnsi="Georgia"/>
        </w:rPr>
        <w:lastRenderedPageBreak/>
        <w:t>sostenibile dal punto di vista economico, ambientale e sociale</w:t>
      </w:r>
      <w:r w:rsidRPr="005E2B73">
        <w:rPr>
          <w:rFonts w:ascii="Georgia" w:hAnsi="Georgia"/>
          <w:vertAlign w:val="superscript"/>
        </w:rPr>
        <w:footnoteReference w:id="13"/>
      </w:r>
      <w:r w:rsidRPr="005E2B73">
        <w:rPr>
          <w:rFonts w:ascii="Georgia" w:hAnsi="Georgia"/>
        </w:rPr>
        <w:t xml:space="preserve">. Essa ha introdotto altresì nuovi criteri per il risparmio e l’efficienza energetici. In particolare il </w:t>
      </w:r>
      <w:hyperlink r:id="rId40" w:anchor="t3" w:history="1">
        <w:r w:rsidRPr="0063410C">
          <w:rPr>
            <w:rStyle w:val="Collegamentoipertestuale"/>
            <w:rFonts w:ascii="Georgia" w:hAnsi="Georgia"/>
          </w:rPr>
          <w:t>titolo III della legge</w:t>
        </w:r>
      </w:hyperlink>
      <w:r w:rsidRPr="005E2B73">
        <w:rPr>
          <w:rFonts w:ascii="Georgia" w:hAnsi="Georgia"/>
        </w:rPr>
        <w:t xml:space="preserve"> (</w:t>
      </w:r>
      <w:proofErr w:type="spellStart"/>
      <w:r w:rsidRPr="005E2B73">
        <w:rPr>
          <w:rFonts w:ascii="Georgia" w:hAnsi="Georgia"/>
          <w:i/>
        </w:rPr>
        <w:t>Sostenibilidad</w:t>
      </w:r>
      <w:proofErr w:type="spellEnd"/>
      <w:r w:rsidRPr="005E2B73">
        <w:rPr>
          <w:rFonts w:ascii="Georgia" w:hAnsi="Georgia"/>
          <w:i/>
        </w:rPr>
        <w:t xml:space="preserve"> </w:t>
      </w:r>
      <w:proofErr w:type="spellStart"/>
      <w:r w:rsidRPr="005E2B73">
        <w:rPr>
          <w:rFonts w:ascii="Georgia" w:hAnsi="Georgia"/>
          <w:i/>
        </w:rPr>
        <w:t>medioambiental</w:t>
      </w:r>
      <w:proofErr w:type="spellEnd"/>
      <w:r w:rsidRPr="005E2B73">
        <w:rPr>
          <w:rFonts w:ascii="Georgia" w:hAnsi="Georgia"/>
        </w:rPr>
        <w:t xml:space="preserve">: artt. 77-111) si è occupato dei diversi settori della </w:t>
      </w:r>
      <w:r w:rsidRPr="005E2B73">
        <w:rPr>
          <w:rFonts w:ascii="Georgia" w:hAnsi="Georgia"/>
          <w:b/>
        </w:rPr>
        <w:t>sostenibilità ambientale</w:t>
      </w:r>
      <w:r w:rsidRPr="005E2B73">
        <w:rPr>
          <w:rFonts w:ascii="Georgia" w:hAnsi="Georgia"/>
        </w:rPr>
        <w:t>: modello energetico, riduzione di emissioni, trasporto e mobilità sostenibili. I</w:t>
      </w:r>
      <w:r w:rsidR="00E96DF0">
        <w:rPr>
          <w:rFonts w:ascii="Georgia" w:hAnsi="Georgia"/>
        </w:rPr>
        <w:t>n primo luogo</w:t>
      </w:r>
      <w:r w:rsidRPr="005E2B73">
        <w:rPr>
          <w:rFonts w:ascii="Georgia" w:hAnsi="Georgia"/>
        </w:rPr>
        <w:t xml:space="preserve"> </w:t>
      </w:r>
      <w:r w:rsidR="00E96DF0">
        <w:rPr>
          <w:rFonts w:ascii="Georgia" w:hAnsi="Georgia"/>
        </w:rPr>
        <w:t xml:space="preserve">vengono </w:t>
      </w:r>
      <w:r w:rsidRPr="005E2B73">
        <w:rPr>
          <w:rFonts w:ascii="Georgia" w:hAnsi="Georgia"/>
        </w:rPr>
        <w:t>indica</w:t>
      </w:r>
      <w:r w:rsidR="00E96DF0">
        <w:rPr>
          <w:rFonts w:ascii="Georgia" w:hAnsi="Georgia"/>
        </w:rPr>
        <w:t>ti</w:t>
      </w:r>
      <w:r w:rsidRPr="005E2B73">
        <w:rPr>
          <w:rFonts w:ascii="Georgia" w:hAnsi="Georgia"/>
        </w:rPr>
        <w:t xml:space="preserve"> i grandi principi applicabili, quali la garanzia della sicurezza del rifornimento, l’efficienza economica e il rispetto dell’ambiente nonché gli obiettivi nazionali per il 2020 in materia di risparmio ed efficienza energetica e di utilizzo delle energie rinnovabili. I</w:t>
      </w:r>
      <w:r w:rsidR="00E96DF0">
        <w:rPr>
          <w:rFonts w:ascii="Georgia" w:hAnsi="Georgia"/>
        </w:rPr>
        <w:t>n secondo luogo si</w:t>
      </w:r>
      <w:r w:rsidRPr="005E2B73">
        <w:rPr>
          <w:rFonts w:ascii="Georgia" w:hAnsi="Georgia"/>
        </w:rPr>
        <w:t xml:space="preserve"> attribuisce al Governo il compito di promuovere il raggiungimento dell’obiettivo assunto dall’Unione europea sulla riduzione dei gas serra. I</w:t>
      </w:r>
      <w:r w:rsidR="00E96DF0">
        <w:rPr>
          <w:rFonts w:ascii="Georgia" w:hAnsi="Georgia"/>
        </w:rPr>
        <w:t>nfine si</w:t>
      </w:r>
      <w:r w:rsidRPr="005E2B73">
        <w:rPr>
          <w:rFonts w:ascii="Georgia" w:hAnsi="Georgia"/>
        </w:rPr>
        <w:t xml:space="preserve"> promuove la trasformazione del settore dei trasporti per incrementare la sua efficienza economica e ambientale</w:t>
      </w:r>
      <w:r w:rsidR="00E96DF0">
        <w:rPr>
          <w:rFonts w:ascii="Georgia" w:hAnsi="Georgia"/>
        </w:rPr>
        <w:t>,</w:t>
      </w:r>
      <w:r w:rsidRPr="005E2B73">
        <w:rPr>
          <w:rFonts w:ascii="Georgia" w:hAnsi="Georgia"/>
        </w:rPr>
        <w:t xml:space="preserve"> nonché la competitività. Sono previsti</w:t>
      </w:r>
      <w:r w:rsidR="00E96DF0">
        <w:rPr>
          <w:rFonts w:ascii="Georgia" w:hAnsi="Georgia"/>
        </w:rPr>
        <w:t xml:space="preserve"> altresì</w:t>
      </w:r>
      <w:r w:rsidRPr="005E2B73">
        <w:rPr>
          <w:rFonts w:ascii="Georgia" w:hAnsi="Georgia"/>
        </w:rPr>
        <w:t xml:space="preserve"> interventi nel settore della </w:t>
      </w:r>
      <w:r w:rsidRPr="00E96DF0">
        <w:rPr>
          <w:rFonts w:ascii="Georgia" w:hAnsi="Georgia"/>
          <w:b/>
        </w:rPr>
        <w:t>mobilità sostenibile</w:t>
      </w:r>
      <w:r w:rsidRPr="005E2B73">
        <w:rPr>
          <w:rFonts w:ascii="Georgia" w:hAnsi="Georgia"/>
        </w:rPr>
        <w:t>, promuovendo i mezzi di trasporto a minor costo ambientale, sociale ed energetico.</w:t>
      </w:r>
    </w:p>
    <w:p w:rsidR="00F736C2" w:rsidRPr="005E2B73" w:rsidRDefault="00F736C2" w:rsidP="00F736C2">
      <w:pPr>
        <w:spacing w:after="120"/>
        <w:ind w:firstLine="357"/>
        <w:jc w:val="both"/>
        <w:rPr>
          <w:rFonts w:ascii="Georgia" w:hAnsi="Georgia"/>
        </w:rPr>
      </w:pPr>
      <w:r w:rsidRPr="005E2B73">
        <w:rPr>
          <w:rFonts w:ascii="Georgia" w:hAnsi="Georgia"/>
        </w:rPr>
        <w:t xml:space="preserve">Nel novembre 2011 il Consiglio dei </w:t>
      </w:r>
      <w:r w:rsidR="004F4BBB">
        <w:rPr>
          <w:rFonts w:ascii="Georgia" w:hAnsi="Georgia"/>
        </w:rPr>
        <w:t>M</w:t>
      </w:r>
      <w:r w:rsidRPr="005E2B73">
        <w:rPr>
          <w:rFonts w:ascii="Georgia" w:hAnsi="Georgia"/>
        </w:rPr>
        <w:t xml:space="preserve">inistri ha approvato la </w:t>
      </w:r>
      <w:r w:rsidRPr="005E2B73">
        <w:rPr>
          <w:rFonts w:ascii="Georgia" w:hAnsi="Georgia"/>
          <w:b/>
        </w:rPr>
        <w:t>Pianificazione energetica indicativa 2012-2020</w:t>
      </w:r>
      <w:r w:rsidRPr="005E2B73">
        <w:rPr>
          <w:rFonts w:ascii="Georgia" w:hAnsi="Georgia"/>
        </w:rPr>
        <w:t xml:space="preserve"> (</w:t>
      </w:r>
      <w:proofErr w:type="spellStart"/>
      <w:r w:rsidR="005E2B73" w:rsidRPr="005E2B73">
        <w:fldChar w:fldCharType="begin"/>
      </w:r>
      <w:r w:rsidR="005E2B73" w:rsidRPr="005E2B73">
        <w:rPr>
          <w:rFonts w:ascii="Georgia" w:hAnsi="Georgia"/>
        </w:rPr>
        <w:instrText xml:space="preserve"> HYPERLINK "http://www.minetad.gob.es/energia/es-ES/Novedades/Documents/Planificacion_indicativa_2012-2020.pdf" </w:instrText>
      </w:r>
      <w:r w:rsidR="005E2B73" w:rsidRPr="005E2B73">
        <w:fldChar w:fldCharType="separate"/>
      </w:r>
      <w:r w:rsidRPr="005E2B73">
        <w:rPr>
          <w:rStyle w:val="Collegamentoipertestuale"/>
          <w:rFonts w:ascii="Georgia" w:hAnsi="Georgia"/>
          <w:i/>
        </w:rPr>
        <w:t>Planificación</w:t>
      </w:r>
      <w:proofErr w:type="spellEnd"/>
      <w:r w:rsidRPr="005E2B73">
        <w:rPr>
          <w:rStyle w:val="Collegamentoipertestuale"/>
          <w:rFonts w:ascii="Georgia" w:hAnsi="Georgia"/>
          <w:i/>
        </w:rPr>
        <w:t xml:space="preserve"> </w:t>
      </w:r>
      <w:proofErr w:type="spellStart"/>
      <w:r w:rsidRPr="005E2B73">
        <w:rPr>
          <w:rStyle w:val="Collegamentoipertestuale"/>
          <w:rFonts w:ascii="Georgia" w:hAnsi="Georgia"/>
          <w:i/>
        </w:rPr>
        <w:t>energética</w:t>
      </w:r>
      <w:proofErr w:type="spellEnd"/>
      <w:r w:rsidRPr="005E2B73">
        <w:rPr>
          <w:rStyle w:val="Collegamentoipertestuale"/>
          <w:rFonts w:ascii="Georgia" w:hAnsi="Georgia"/>
          <w:i/>
        </w:rPr>
        <w:t xml:space="preserve"> indicativa 2012-2020</w:t>
      </w:r>
      <w:r w:rsidR="005E2B73" w:rsidRPr="005E2B73">
        <w:rPr>
          <w:rStyle w:val="Collegamentoipertestuale"/>
          <w:rFonts w:ascii="Georgia" w:hAnsi="Georgia"/>
          <w:i/>
        </w:rPr>
        <w:fldChar w:fldCharType="end"/>
      </w:r>
      <w:r w:rsidRPr="005E2B73">
        <w:rPr>
          <w:rFonts w:ascii="Georgia" w:hAnsi="Georgia"/>
        </w:rPr>
        <w:t xml:space="preserve">) e il </w:t>
      </w:r>
      <w:r w:rsidRPr="005E2B73">
        <w:rPr>
          <w:rFonts w:ascii="Georgia" w:hAnsi="Georgia"/>
          <w:b/>
        </w:rPr>
        <w:t>Piano delle energie rinnovabili 2011-2020</w:t>
      </w:r>
      <w:r w:rsidRPr="005E2B73">
        <w:rPr>
          <w:rFonts w:ascii="Georgia" w:hAnsi="Georgia"/>
        </w:rPr>
        <w:t xml:space="preserve"> (</w:t>
      </w:r>
      <w:hyperlink r:id="rId41" w:history="1">
        <w:r w:rsidRPr="005E2B73">
          <w:rPr>
            <w:rStyle w:val="Collegamentoipertestuale"/>
            <w:rFonts w:ascii="Georgia" w:hAnsi="Georgia"/>
            <w:i/>
          </w:rPr>
          <w:t xml:space="preserve">Plan de </w:t>
        </w:r>
        <w:proofErr w:type="spellStart"/>
        <w:r w:rsidRPr="005E2B73">
          <w:rPr>
            <w:rStyle w:val="Collegamentoipertestuale"/>
            <w:rFonts w:ascii="Georgia" w:hAnsi="Georgia"/>
            <w:i/>
          </w:rPr>
          <w:t>Energías</w:t>
        </w:r>
        <w:proofErr w:type="spellEnd"/>
        <w:r w:rsidRPr="005E2B73">
          <w:rPr>
            <w:rStyle w:val="Collegamentoipertestuale"/>
            <w:rFonts w:ascii="Georgia" w:hAnsi="Georgia"/>
            <w:i/>
          </w:rPr>
          <w:t xml:space="preserve"> </w:t>
        </w:r>
        <w:proofErr w:type="spellStart"/>
        <w:r w:rsidRPr="005E2B73">
          <w:rPr>
            <w:rStyle w:val="Collegamentoipertestuale"/>
            <w:rFonts w:ascii="Georgia" w:hAnsi="Georgia"/>
            <w:i/>
          </w:rPr>
          <w:t>Renovables</w:t>
        </w:r>
        <w:proofErr w:type="spellEnd"/>
        <w:r w:rsidRPr="005E2B73">
          <w:rPr>
            <w:rStyle w:val="Collegamentoipertestuale"/>
            <w:rFonts w:ascii="Georgia" w:hAnsi="Georgia"/>
            <w:i/>
          </w:rPr>
          <w:t xml:space="preserve"> 2011-2020</w:t>
        </w:r>
      </w:hyperlink>
      <w:r w:rsidRPr="005E2B73">
        <w:rPr>
          <w:rFonts w:ascii="Georgia" w:hAnsi="Georgia"/>
        </w:rPr>
        <w:t>). La Pianificazione energetica indicativa è un documento di previsione di lungo periodo che, delineando lo sviluppo della domanda di energia e le iniziative necessarie per sostenerne la crescita, costituisce il punto di partenza della normativa. Il Ministero dell’industria, turismo e commercio</w:t>
      </w:r>
      <w:r w:rsidRPr="005E2B73">
        <w:rPr>
          <w:rFonts w:ascii="Georgia" w:hAnsi="Georgia"/>
          <w:vertAlign w:val="superscript"/>
        </w:rPr>
        <w:footnoteReference w:id="14"/>
      </w:r>
      <w:r w:rsidRPr="005E2B73">
        <w:rPr>
          <w:rFonts w:ascii="Georgia" w:hAnsi="Georgia"/>
        </w:rPr>
        <w:t xml:space="preserve"> ha previsto che nel periodo considerato vi sia un aumento della quota di energia prodotta da fonti rinnovabili e una diminuzione di quella relativa alla produzione energetica derivante da fonti fossili. È prevista una diminuzione delle emissioni di anidride carbonica CO</w:t>
      </w:r>
      <w:r w:rsidRPr="005E2B73">
        <w:rPr>
          <w:rFonts w:ascii="Georgia" w:hAnsi="Georgia"/>
          <w:vertAlign w:val="subscript"/>
        </w:rPr>
        <w:t>2</w:t>
      </w:r>
      <w:r w:rsidRPr="005E2B73">
        <w:rPr>
          <w:rFonts w:ascii="Georgia" w:hAnsi="Georgia"/>
        </w:rPr>
        <w:t>, in particolare di quelle collegate ai processi di generazione elettrica, con una riduzione dell’11,8% per kW/h prodotto, nonché una diminuzione della produzione d</w:t>
      </w:r>
      <w:r w:rsidR="00E96DF0">
        <w:rPr>
          <w:rFonts w:ascii="Georgia" w:hAnsi="Georgia"/>
        </w:rPr>
        <w:t>i energia</w:t>
      </w:r>
      <w:r w:rsidRPr="005E2B73">
        <w:rPr>
          <w:rFonts w:ascii="Georgia" w:hAnsi="Georgia"/>
        </w:rPr>
        <w:t xml:space="preserve"> nucleare. Il documento indica una </w:t>
      </w:r>
      <w:r w:rsidRPr="005E2B73">
        <w:rPr>
          <w:rFonts w:ascii="Georgia" w:hAnsi="Georgia"/>
          <w:b/>
        </w:rPr>
        <w:t>previsione per l’anno 2020 del 20,8% dell’energia nazionale derivante da fonti rinnovabili</w:t>
      </w:r>
      <w:r w:rsidRPr="005E2B73">
        <w:rPr>
          <w:rFonts w:ascii="Georgia" w:hAnsi="Georgia"/>
        </w:rPr>
        <w:t xml:space="preserve">. A tale documento si collega il Piano delle energie rinnovabili, che analizza l’evoluzione delle varie fonti di energia rinnovabile: biocarburante, biogas, biomassa, energia eolica, energia geotermica, energia idroelettrica, rifiuti, fotovoltaico, energia termica e termoelettrica. Le indicazioni, divise per settore e tipologia di intervento, insistono in particolar modo sugli </w:t>
      </w:r>
      <w:r w:rsidRPr="00E96DF0">
        <w:rPr>
          <w:rFonts w:ascii="Georgia" w:hAnsi="Georgia"/>
          <w:b/>
        </w:rPr>
        <w:t>incentivi all’uso di energie rinnovabili per la produzione di calore</w:t>
      </w:r>
      <w:r w:rsidRPr="005E2B73">
        <w:rPr>
          <w:rFonts w:ascii="Georgia" w:hAnsi="Georgia"/>
        </w:rPr>
        <w:t xml:space="preserve"> e sull’autoconsumo di energia prodotta da fonti rinnovabili.</w:t>
      </w:r>
    </w:p>
    <w:p w:rsidR="00F736C2" w:rsidRPr="005E2B73" w:rsidRDefault="00F736C2" w:rsidP="00F736C2">
      <w:pPr>
        <w:spacing w:after="120"/>
        <w:ind w:firstLine="357"/>
        <w:jc w:val="both"/>
        <w:rPr>
          <w:rFonts w:ascii="Georgia" w:hAnsi="Georgia"/>
        </w:rPr>
      </w:pPr>
      <w:r w:rsidRPr="005E2B73">
        <w:rPr>
          <w:rFonts w:ascii="Georgia" w:hAnsi="Georgia"/>
        </w:rPr>
        <w:t xml:space="preserve">La </w:t>
      </w:r>
      <w:hyperlink r:id="rId42" w:history="1">
        <w:proofErr w:type="spellStart"/>
        <w:r w:rsidRPr="002F56DF">
          <w:rPr>
            <w:rStyle w:val="Collegamentoipertestuale"/>
            <w:rFonts w:ascii="Georgia" w:hAnsi="Georgia"/>
            <w:i/>
          </w:rPr>
          <w:t>Ley</w:t>
        </w:r>
        <w:proofErr w:type="spellEnd"/>
        <w:r w:rsidRPr="002F56DF">
          <w:rPr>
            <w:rStyle w:val="Collegamentoipertestuale"/>
            <w:rFonts w:ascii="Georgia" w:hAnsi="Georgia"/>
            <w:i/>
          </w:rPr>
          <w:t xml:space="preserve"> 24/2013, de 26 de </w:t>
        </w:r>
        <w:proofErr w:type="spellStart"/>
        <w:r w:rsidRPr="002F56DF">
          <w:rPr>
            <w:rStyle w:val="Collegamentoipertestuale"/>
            <w:rFonts w:ascii="Georgia" w:hAnsi="Georgia"/>
            <w:i/>
          </w:rPr>
          <w:t>diciembre</w:t>
        </w:r>
        <w:proofErr w:type="spellEnd"/>
        <w:r w:rsidRPr="002F56DF">
          <w:rPr>
            <w:rStyle w:val="Collegamentoipertestuale"/>
            <w:rFonts w:ascii="Georgia" w:hAnsi="Georgia"/>
            <w:i/>
          </w:rPr>
          <w:t xml:space="preserve">, del Sector </w:t>
        </w:r>
        <w:proofErr w:type="spellStart"/>
        <w:r w:rsidRPr="002F56DF">
          <w:rPr>
            <w:rStyle w:val="Collegamentoipertestuale"/>
            <w:rFonts w:ascii="Georgia" w:hAnsi="Georgia"/>
            <w:i/>
          </w:rPr>
          <w:t>Eléctrico</w:t>
        </w:r>
        <w:proofErr w:type="spellEnd"/>
      </w:hyperlink>
      <w:r w:rsidRPr="005E2B73">
        <w:rPr>
          <w:rFonts w:ascii="Georgia" w:hAnsi="Georgia"/>
        </w:rPr>
        <w:t xml:space="preserve"> ha costituito una risposta al deficit strutturale del </w:t>
      </w:r>
      <w:r w:rsidRPr="005E2B73">
        <w:rPr>
          <w:rFonts w:ascii="Georgia" w:hAnsi="Georgia"/>
          <w:b/>
        </w:rPr>
        <w:t>settore elettrico</w:t>
      </w:r>
      <w:r w:rsidRPr="005E2B73">
        <w:rPr>
          <w:rFonts w:ascii="Georgia" w:hAnsi="Georgia"/>
        </w:rPr>
        <w:t xml:space="preserve"> determinato dallo squilibrio tra entrate e costi del sistema, con l’obiettivo di correggere tale situazione, apportando una stabilità di regolamentazione improntata al principio della </w:t>
      </w:r>
      <w:r w:rsidRPr="005E2B73">
        <w:rPr>
          <w:rFonts w:ascii="Georgia" w:hAnsi="Georgia"/>
        </w:rPr>
        <w:lastRenderedPageBreak/>
        <w:t xml:space="preserve">sostenibilità economico-finanziaria. Per quanto concerne le </w:t>
      </w:r>
      <w:r w:rsidRPr="005E2B73">
        <w:rPr>
          <w:rFonts w:ascii="Georgia" w:hAnsi="Georgia"/>
          <w:b/>
        </w:rPr>
        <w:t>energie rinnovabili</w:t>
      </w:r>
      <w:r w:rsidRPr="005E2B73">
        <w:rPr>
          <w:rFonts w:ascii="Georgia" w:hAnsi="Georgia"/>
        </w:rPr>
        <w:t xml:space="preserve">, la legge ha puntato ad integrare le entrate del mercato con una </w:t>
      </w:r>
      <w:r w:rsidRPr="005E2B73">
        <w:rPr>
          <w:rFonts w:ascii="Georgia" w:hAnsi="Georgia"/>
          <w:b/>
        </w:rPr>
        <w:t>remunerazione specifica</w:t>
      </w:r>
      <w:r w:rsidRPr="005E2B73">
        <w:rPr>
          <w:rFonts w:ascii="Georgia" w:hAnsi="Georgia"/>
        </w:rPr>
        <w:t xml:space="preserve"> che permetta a tali energie di competere con le altre tecnologie. Per il calcolo di tale remunerazione si considerano, per un’installazione tipo, le entrate della vendita dell’energia generata al prezzo del mercato di produzione, i costi di sfruttamento medi necessari e il valore dell’investimento iniziale dell’installazione per un’impresa efficiente e ben gestita. In nessun caso si possono considerare come costi o investimenti quelli determinati da norme o atti amministrativi applicabili su tutto il territorio spagnolo, </w:t>
      </w:r>
      <w:r w:rsidR="00E96DF0">
        <w:rPr>
          <w:rFonts w:ascii="Georgia" w:hAnsi="Georgia"/>
        </w:rPr>
        <w:t xml:space="preserve">in quanto </w:t>
      </w:r>
      <w:r w:rsidRPr="005E2B73">
        <w:rPr>
          <w:rFonts w:ascii="Georgia" w:hAnsi="Georgia"/>
        </w:rPr>
        <w:t xml:space="preserve">tali costi devono rispondere solo all’attività di produzione elettrica. Gli investimenti in tecnologie delle energie rinnovabili devono ispirarsi al principio del </w:t>
      </w:r>
      <w:r w:rsidRPr="00E96DF0">
        <w:rPr>
          <w:rFonts w:ascii="Georgia" w:hAnsi="Georgia"/>
          <w:b/>
        </w:rPr>
        <w:t>rendimento ragionevole</w:t>
      </w:r>
      <w:r w:rsidRPr="005E2B73">
        <w:rPr>
          <w:rFonts w:ascii="Georgia" w:hAnsi="Georgia"/>
        </w:rPr>
        <w:t xml:space="preserve"> </w:t>
      </w:r>
      <w:r w:rsidR="00E96DF0">
        <w:rPr>
          <w:rFonts w:ascii="Georgia" w:hAnsi="Georgia"/>
        </w:rPr>
        <w:t xml:space="preserve">e </w:t>
      </w:r>
      <w:r w:rsidRPr="005E2B73">
        <w:rPr>
          <w:rFonts w:ascii="Georgia" w:hAnsi="Georgia"/>
        </w:rPr>
        <w:t xml:space="preserve">i relativi parametri remunerativi devono essere rivisti ogni sei anni in base a tale principio. Per quanto concerne la distribuzione e l’accesso alla rete, la legge ha stabilito che l’energia elettrica derivante da installazioni che utilizzano fonti di energia rinnovabile ha priorità di distribuzione a condizioni economiche nel mercato, fermi </w:t>
      </w:r>
      <w:r w:rsidR="00E96DF0">
        <w:rPr>
          <w:rFonts w:ascii="Georgia" w:hAnsi="Georgia"/>
        </w:rPr>
        <w:t xml:space="preserve">restando </w:t>
      </w:r>
      <w:r w:rsidRPr="005E2B73">
        <w:rPr>
          <w:rFonts w:ascii="Georgia" w:hAnsi="Georgia"/>
        </w:rPr>
        <w:t>i requisiti relativi al mantenimento della sicurezza del sistema. La generazione di elettricità da fonti rinnovabili ha priorità di accesso e di connessione alla rete in base a criteri oggettivi e trasparenti. Per la prima volta è stato disciplinato l’</w:t>
      </w:r>
      <w:r w:rsidRPr="005E2B73">
        <w:rPr>
          <w:rFonts w:ascii="Georgia" w:hAnsi="Georgia"/>
          <w:b/>
        </w:rPr>
        <w:t>autoconsumo</w:t>
      </w:r>
      <w:r w:rsidRPr="005E2B73">
        <w:rPr>
          <w:rFonts w:ascii="Georgia" w:hAnsi="Georgia"/>
        </w:rPr>
        <w:t xml:space="preserve">, con la finalità di garantirne uno sviluppo ordinato, compatibile con la necessità di garantire la sostenibilità tecnica ed economica del sistema elettrico. Peraltro la legge ha previsto l’obbligo per le installazioni di autoconsumo di contribuire al finanziamento dei costi e servizi del sistema nella stessa misura rispetto al resto dei consumatori. Sono previste eccezioni transitorie per i casi in cui l’autoconsumo comporta una riduzione dei costi per il sistema. </w:t>
      </w:r>
      <w:r w:rsidR="00E96DF0">
        <w:rPr>
          <w:rFonts w:ascii="Georgia" w:hAnsi="Georgia"/>
        </w:rPr>
        <w:t>P</w:t>
      </w:r>
      <w:r w:rsidR="00E96DF0" w:rsidRPr="005E2B73">
        <w:rPr>
          <w:rFonts w:ascii="Georgia" w:hAnsi="Georgia"/>
        </w:rPr>
        <w:t xml:space="preserve">er i consumatori che optano per l’autoconsumo </w:t>
      </w:r>
      <w:r w:rsidR="00E96DF0">
        <w:rPr>
          <w:rFonts w:ascii="Georgia" w:hAnsi="Georgia"/>
        </w:rPr>
        <w:t>l</w:t>
      </w:r>
      <w:r w:rsidRPr="005E2B73">
        <w:rPr>
          <w:rFonts w:ascii="Georgia" w:hAnsi="Georgia"/>
        </w:rPr>
        <w:t>a legge prevede l’obbligo d</w:t>
      </w:r>
      <w:r w:rsidR="00E96DF0">
        <w:rPr>
          <w:rFonts w:ascii="Georgia" w:hAnsi="Georgia"/>
        </w:rPr>
        <w:t>i</w:t>
      </w:r>
      <w:r w:rsidRPr="005E2B73">
        <w:rPr>
          <w:rFonts w:ascii="Georgia" w:hAnsi="Georgia"/>
        </w:rPr>
        <w:t xml:space="preserve"> iscri</w:t>
      </w:r>
      <w:r w:rsidR="00E96DF0">
        <w:rPr>
          <w:rFonts w:ascii="Georgia" w:hAnsi="Georgia"/>
        </w:rPr>
        <w:t xml:space="preserve">zione </w:t>
      </w:r>
      <w:r w:rsidRPr="005E2B73">
        <w:rPr>
          <w:rFonts w:ascii="Georgia" w:hAnsi="Georgia"/>
        </w:rPr>
        <w:t>al registro amministrativo di autoconsumo dell’energia elettrica (</w:t>
      </w:r>
      <w:r w:rsidRPr="005E2B73">
        <w:rPr>
          <w:rFonts w:ascii="Georgia" w:hAnsi="Georgia"/>
          <w:i/>
        </w:rPr>
        <w:t xml:space="preserve">registro </w:t>
      </w:r>
      <w:proofErr w:type="spellStart"/>
      <w:r w:rsidRPr="005E2B73">
        <w:rPr>
          <w:rFonts w:ascii="Georgia" w:hAnsi="Georgia"/>
          <w:i/>
        </w:rPr>
        <w:t>administrativo</w:t>
      </w:r>
      <w:proofErr w:type="spellEnd"/>
      <w:r w:rsidRPr="005E2B73">
        <w:rPr>
          <w:rFonts w:ascii="Georgia" w:hAnsi="Georgia"/>
          <w:i/>
        </w:rPr>
        <w:t xml:space="preserve"> de autoconsumo de </w:t>
      </w:r>
      <w:proofErr w:type="spellStart"/>
      <w:r w:rsidRPr="005E2B73">
        <w:rPr>
          <w:rFonts w:ascii="Georgia" w:hAnsi="Georgia"/>
          <w:i/>
        </w:rPr>
        <w:t>energía</w:t>
      </w:r>
      <w:proofErr w:type="spellEnd"/>
      <w:r w:rsidRPr="005E2B73">
        <w:rPr>
          <w:rFonts w:ascii="Georgia" w:hAnsi="Georgia"/>
          <w:i/>
        </w:rPr>
        <w:t xml:space="preserve"> </w:t>
      </w:r>
      <w:proofErr w:type="spellStart"/>
      <w:r w:rsidRPr="005E2B73">
        <w:rPr>
          <w:rFonts w:ascii="Georgia" w:hAnsi="Georgia"/>
          <w:i/>
        </w:rPr>
        <w:t>eléctrica</w:t>
      </w:r>
      <w:proofErr w:type="spellEnd"/>
      <w:r w:rsidRPr="005E2B73">
        <w:rPr>
          <w:rFonts w:ascii="Georgia" w:hAnsi="Georgia"/>
        </w:rPr>
        <w:t>), presso il Ministero dell’industria, energia e turismo.</w:t>
      </w:r>
    </w:p>
    <w:p w:rsidR="00F736C2" w:rsidRPr="005E2B73" w:rsidRDefault="00F736C2" w:rsidP="00F736C2">
      <w:pPr>
        <w:spacing w:after="120"/>
        <w:ind w:firstLine="357"/>
        <w:jc w:val="both"/>
        <w:rPr>
          <w:rFonts w:ascii="Georgia" w:hAnsi="Georgia"/>
        </w:rPr>
      </w:pPr>
      <w:r w:rsidRPr="005E2B73">
        <w:rPr>
          <w:rFonts w:ascii="Georgia" w:hAnsi="Georgia"/>
        </w:rPr>
        <w:t xml:space="preserve">Il </w:t>
      </w:r>
      <w:hyperlink r:id="rId43" w:history="1">
        <w:r w:rsidRPr="002F56DF">
          <w:rPr>
            <w:rStyle w:val="Collegamentoipertestuale"/>
            <w:rFonts w:ascii="Georgia" w:hAnsi="Georgia"/>
            <w:i/>
          </w:rPr>
          <w:t xml:space="preserve">Real Decreto 413/2014, de 6 de </w:t>
        </w:r>
        <w:proofErr w:type="spellStart"/>
        <w:r w:rsidRPr="002F56DF">
          <w:rPr>
            <w:rStyle w:val="Collegamentoipertestuale"/>
            <w:rFonts w:ascii="Georgia" w:hAnsi="Georgia"/>
            <w:i/>
          </w:rPr>
          <w:t>junio</w:t>
        </w:r>
        <w:proofErr w:type="spellEnd"/>
        <w:r w:rsidRPr="002F56DF">
          <w:rPr>
            <w:rStyle w:val="Collegamentoipertestuale"/>
            <w:rFonts w:ascii="Georgia" w:hAnsi="Georgia"/>
            <w:i/>
          </w:rPr>
          <w:t xml:space="preserve">, por </w:t>
        </w:r>
        <w:proofErr w:type="spellStart"/>
        <w:r w:rsidRPr="002F56DF">
          <w:rPr>
            <w:rStyle w:val="Collegamentoipertestuale"/>
            <w:rFonts w:ascii="Georgia" w:hAnsi="Georgia"/>
            <w:i/>
          </w:rPr>
          <w:t>el</w:t>
        </w:r>
        <w:proofErr w:type="spellEnd"/>
        <w:r w:rsidRPr="002F56DF">
          <w:rPr>
            <w:rStyle w:val="Collegamentoipertestuale"/>
            <w:rFonts w:ascii="Georgia" w:hAnsi="Georgia"/>
            <w:i/>
          </w:rPr>
          <w:t xml:space="preserve"> </w:t>
        </w:r>
        <w:proofErr w:type="spellStart"/>
        <w:r w:rsidRPr="002F56DF">
          <w:rPr>
            <w:rStyle w:val="Collegamentoipertestuale"/>
            <w:rFonts w:ascii="Georgia" w:hAnsi="Georgia"/>
            <w:i/>
          </w:rPr>
          <w:t>que</w:t>
        </w:r>
        <w:proofErr w:type="spellEnd"/>
        <w:r w:rsidRPr="002F56DF">
          <w:rPr>
            <w:rStyle w:val="Collegamentoipertestuale"/>
            <w:rFonts w:ascii="Georgia" w:hAnsi="Georgia"/>
            <w:i/>
          </w:rPr>
          <w:t xml:space="preserve"> se </w:t>
        </w:r>
        <w:proofErr w:type="spellStart"/>
        <w:r w:rsidRPr="002F56DF">
          <w:rPr>
            <w:rStyle w:val="Collegamentoipertestuale"/>
            <w:rFonts w:ascii="Georgia" w:hAnsi="Georgia"/>
            <w:i/>
          </w:rPr>
          <w:t>regula</w:t>
        </w:r>
        <w:proofErr w:type="spellEnd"/>
        <w:r w:rsidRPr="002F56DF">
          <w:rPr>
            <w:rStyle w:val="Collegamentoipertestuale"/>
            <w:rFonts w:ascii="Georgia" w:hAnsi="Georgia"/>
            <w:i/>
          </w:rPr>
          <w:t xml:space="preserve"> la </w:t>
        </w:r>
        <w:proofErr w:type="spellStart"/>
        <w:r w:rsidRPr="002F56DF">
          <w:rPr>
            <w:rStyle w:val="Collegamentoipertestuale"/>
            <w:rFonts w:ascii="Georgia" w:hAnsi="Georgia"/>
            <w:i/>
          </w:rPr>
          <w:t>actividad</w:t>
        </w:r>
        <w:proofErr w:type="spellEnd"/>
        <w:r w:rsidRPr="002F56DF">
          <w:rPr>
            <w:rStyle w:val="Collegamentoipertestuale"/>
            <w:rFonts w:ascii="Georgia" w:hAnsi="Georgia"/>
            <w:i/>
          </w:rPr>
          <w:t xml:space="preserve"> de </w:t>
        </w:r>
        <w:proofErr w:type="spellStart"/>
        <w:r w:rsidRPr="002F56DF">
          <w:rPr>
            <w:rStyle w:val="Collegamentoipertestuale"/>
            <w:rFonts w:ascii="Georgia" w:hAnsi="Georgia"/>
            <w:i/>
          </w:rPr>
          <w:t>producción</w:t>
        </w:r>
        <w:proofErr w:type="spellEnd"/>
        <w:r w:rsidRPr="002F56DF">
          <w:rPr>
            <w:rStyle w:val="Collegamentoipertestuale"/>
            <w:rFonts w:ascii="Georgia" w:hAnsi="Georgia"/>
            <w:i/>
          </w:rPr>
          <w:t xml:space="preserve"> de </w:t>
        </w:r>
        <w:proofErr w:type="spellStart"/>
        <w:r w:rsidRPr="002F56DF">
          <w:rPr>
            <w:rStyle w:val="Collegamentoipertestuale"/>
            <w:rFonts w:ascii="Georgia" w:hAnsi="Georgia"/>
            <w:i/>
          </w:rPr>
          <w:t>energía</w:t>
        </w:r>
        <w:proofErr w:type="spellEnd"/>
        <w:r w:rsidRPr="002F56DF">
          <w:rPr>
            <w:rStyle w:val="Collegamentoipertestuale"/>
            <w:rFonts w:ascii="Georgia" w:hAnsi="Georgia"/>
            <w:i/>
          </w:rPr>
          <w:t xml:space="preserve"> </w:t>
        </w:r>
        <w:proofErr w:type="spellStart"/>
        <w:r w:rsidRPr="002F56DF">
          <w:rPr>
            <w:rStyle w:val="Collegamentoipertestuale"/>
            <w:rFonts w:ascii="Georgia" w:hAnsi="Georgia"/>
            <w:i/>
          </w:rPr>
          <w:t>eléctrica</w:t>
        </w:r>
        <w:proofErr w:type="spellEnd"/>
        <w:r w:rsidRPr="002F56DF">
          <w:rPr>
            <w:rStyle w:val="Collegamentoipertestuale"/>
            <w:rFonts w:ascii="Georgia" w:hAnsi="Georgia"/>
            <w:i/>
          </w:rPr>
          <w:t xml:space="preserve"> a partir de </w:t>
        </w:r>
        <w:proofErr w:type="spellStart"/>
        <w:r w:rsidRPr="002F56DF">
          <w:rPr>
            <w:rStyle w:val="Collegamentoipertestuale"/>
            <w:rFonts w:ascii="Georgia" w:hAnsi="Georgia"/>
            <w:i/>
          </w:rPr>
          <w:t>fuentes</w:t>
        </w:r>
        <w:proofErr w:type="spellEnd"/>
        <w:r w:rsidRPr="002F56DF">
          <w:rPr>
            <w:rStyle w:val="Collegamentoipertestuale"/>
            <w:rFonts w:ascii="Georgia" w:hAnsi="Georgia"/>
            <w:i/>
          </w:rPr>
          <w:t xml:space="preserve"> de </w:t>
        </w:r>
        <w:proofErr w:type="spellStart"/>
        <w:r w:rsidRPr="002F56DF">
          <w:rPr>
            <w:rStyle w:val="Collegamentoipertestuale"/>
            <w:rFonts w:ascii="Georgia" w:hAnsi="Georgia"/>
            <w:i/>
          </w:rPr>
          <w:t>energía</w:t>
        </w:r>
        <w:proofErr w:type="spellEnd"/>
        <w:r w:rsidRPr="002F56DF">
          <w:rPr>
            <w:rStyle w:val="Collegamentoipertestuale"/>
            <w:rFonts w:ascii="Georgia" w:hAnsi="Georgia"/>
            <w:i/>
          </w:rPr>
          <w:t xml:space="preserve"> </w:t>
        </w:r>
        <w:proofErr w:type="spellStart"/>
        <w:r w:rsidRPr="002F56DF">
          <w:rPr>
            <w:rStyle w:val="Collegamentoipertestuale"/>
            <w:rFonts w:ascii="Georgia" w:hAnsi="Georgia"/>
            <w:i/>
          </w:rPr>
          <w:t>renovables</w:t>
        </w:r>
        <w:proofErr w:type="spellEnd"/>
        <w:r w:rsidRPr="002F56DF">
          <w:rPr>
            <w:rStyle w:val="Collegamentoipertestuale"/>
            <w:rFonts w:ascii="Georgia" w:hAnsi="Georgia"/>
            <w:i/>
          </w:rPr>
          <w:t xml:space="preserve">, </w:t>
        </w:r>
        <w:proofErr w:type="spellStart"/>
        <w:r w:rsidRPr="002F56DF">
          <w:rPr>
            <w:rStyle w:val="Collegamentoipertestuale"/>
            <w:rFonts w:ascii="Georgia" w:hAnsi="Georgia"/>
            <w:i/>
          </w:rPr>
          <w:t>cogeneración</w:t>
        </w:r>
        <w:proofErr w:type="spellEnd"/>
        <w:r w:rsidRPr="002F56DF">
          <w:rPr>
            <w:rStyle w:val="Collegamentoipertestuale"/>
            <w:rFonts w:ascii="Georgia" w:hAnsi="Georgia"/>
            <w:i/>
          </w:rPr>
          <w:t xml:space="preserve"> y </w:t>
        </w:r>
        <w:proofErr w:type="spellStart"/>
        <w:r w:rsidRPr="002F56DF">
          <w:rPr>
            <w:rStyle w:val="Collegamentoipertestuale"/>
            <w:rFonts w:ascii="Georgia" w:hAnsi="Georgia"/>
            <w:i/>
          </w:rPr>
          <w:t>residuos</w:t>
        </w:r>
        <w:proofErr w:type="spellEnd"/>
      </w:hyperlink>
      <w:r w:rsidRPr="005E2B73">
        <w:rPr>
          <w:rFonts w:ascii="Georgia" w:hAnsi="Georgia"/>
        </w:rPr>
        <w:t xml:space="preserve"> è quindi intervenuto a regolare l’attività di </w:t>
      </w:r>
      <w:r w:rsidRPr="005E2B73">
        <w:rPr>
          <w:rFonts w:ascii="Georgia" w:hAnsi="Georgia"/>
          <w:b/>
        </w:rPr>
        <w:t>produzione di energia elettrica da fonti di energia rinnovabili</w:t>
      </w:r>
      <w:r w:rsidRPr="005E2B73">
        <w:rPr>
          <w:rFonts w:ascii="Georgia" w:hAnsi="Georgia"/>
        </w:rPr>
        <w:t xml:space="preserve">, cogenerazione e rifiuti. L’aspetto più importante è la riforma del sistema degli incentivi in favore delle installazioni di energia rinnovabili, prevedendo che solo </w:t>
      </w:r>
      <w:r w:rsidR="00E96DF0">
        <w:rPr>
          <w:rFonts w:ascii="Georgia" w:hAnsi="Georgia"/>
        </w:rPr>
        <w:t>le produzioni</w:t>
      </w:r>
      <w:r w:rsidRPr="005E2B73">
        <w:rPr>
          <w:rFonts w:ascii="Georgia" w:hAnsi="Georgia"/>
        </w:rPr>
        <w:t xml:space="preserve"> che non superano la durata stabilita dalla legge, cioè 20 anni per l’energia eolica, 30 per la fotovoltaica e 25 per le altre, possono ricevere gli incentivi. Gli impianti possono comunque percepire, oltre al compenso per la vendita di energia a prezzi di mercato, la remunerazione specifica derivante, per una parte, dalle unità di potenza installate, quale compenso per l’investimento, dall’altra da un compenso operativo. Essa permette di coprire i maggiori costi di installazione di produzione di energia elettrica da fonti rinnovabili, in maniera tale da poter competere con le altre tecnologie e ottenere un rendimento ragionevole.</w:t>
      </w:r>
    </w:p>
    <w:p w:rsidR="004F4BBB" w:rsidRDefault="00F736C2" w:rsidP="00F736C2">
      <w:pPr>
        <w:spacing w:after="120"/>
        <w:ind w:firstLine="357"/>
        <w:jc w:val="both"/>
        <w:rPr>
          <w:rFonts w:ascii="Georgia" w:hAnsi="Georgia"/>
        </w:rPr>
      </w:pPr>
      <w:r w:rsidRPr="005E2B73">
        <w:rPr>
          <w:rFonts w:ascii="Georgia" w:hAnsi="Georgia"/>
        </w:rPr>
        <w:t xml:space="preserve">Nel 2015 è intervenuto un decreto ministeriale: il </w:t>
      </w:r>
      <w:hyperlink r:id="rId44" w:history="1">
        <w:r w:rsidRPr="002F56DF">
          <w:rPr>
            <w:rStyle w:val="Collegamentoipertestuale"/>
            <w:rFonts w:ascii="Georgia" w:hAnsi="Georgia"/>
            <w:i/>
          </w:rPr>
          <w:t xml:space="preserve">Real Decreto 900/2015, de 9 de </w:t>
        </w:r>
        <w:proofErr w:type="spellStart"/>
        <w:r w:rsidRPr="002F56DF">
          <w:rPr>
            <w:rStyle w:val="Collegamentoipertestuale"/>
            <w:rFonts w:ascii="Georgia" w:hAnsi="Georgia"/>
            <w:i/>
          </w:rPr>
          <w:t>octubre</w:t>
        </w:r>
        <w:proofErr w:type="spellEnd"/>
        <w:r w:rsidRPr="002F56DF">
          <w:rPr>
            <w:rStyle w:val="Collegamentoipertestuale"/>
            <w:rFonts w:ascii="Georgia" w:hAnsi="Georgia"/>
            <w:i/>
          </w:rPr>
          <w:t xml:space="preserve">, por </w:t>
        </w:r>
        <w:proofErr w:type="spellStart"/>
        <w:r w:rsidRPr="002F56DF">
          <w:rPr>
            <w:rStyle w:val="Collegamentoipertestuale"/>
            <w:rFonts w:ascii="Georgia" w:hAnsi="Georgia"/>
            <w:i/>
          </w:rPr>
          <w:t>el</w:t>
        </w:r>
        <w:proofErr w:type="spellEnd"/>
        <w:r w:rsidRPr="002F56DF">
          <w:rPr>
            <w:rStyle w:val="Collegamentoipertestuale"/>
            <w:rFonts w:ascii="Georgia" w:hAnsi="Georgia"/>
            <w:i/>
          </w:rPr>
          <w:t xml:space="preserve"> </w:t>
        </w:r>
        <w:proofErr w:type="spellStart"/>
        <w:r w:rsidRPr="002F56DF">
          <w:rPr>
            <w:rStyle w:val="Collegamentoipertestuale"/>
            <w:rFonts w:ascii="Georgia" w:hAnsi="Georgia"/>
            <w:i/>
          </w:rPr>
          <w:t>que</w:t>
        </w:r>
        <w:proofErr w:type="spellEnd"/>
        <w:r w:rsidRPr="002F56DF">
          <w:rPr>
            <w:rStyle w:val="Collegamentoipertestuale"/>
            <w:rFonts w:ascii="Georgia" w:hAnsi="Georgia"/>
            <w:i/>
          </w:rPr>
          <w:t xml:space="preserve"> se </w:t>
        </w:r>
        <w:proofErr w:type="spellStart"/>
        <w:r w:rsidRPr="002F56DF">
          <w:rPr>
            <w:rStyle w:val="Collegamentoipertestuale"/>
            <w:rFonts w:ascii="Georgia" w:hAnsi="Georgia"/>
            <w:i/>
          </w:rPr>
          <w:t>regulan</w:t>
        </w:r>
        <w:proofErr w:type="spellEnd"/>
        <w:r w:rsidRPr="002F56DF">
          <w:rPr>
            <w:rStyle w:val="Collegamentoipertestuale"/>
            <w:rFonts w:ascii="Georgia" w:hAnsi="Georgia"/>
            <w:i/>
          </w:rPr>
          <w:t xml:space="preserve"> </w:t>
        </w:r>
        <w:proofErr w:type="spellStart"/>
        <w:r w:rsidRPr="002F56DF">
          <w:rPr>
            <w:rStyle w:val="Collegamentoipertestuale"/>
            <w:rFonts w:ascii="Georgia" w:hAnsi="Georgia"/>
            <w:i/>
          </w:rPr>
          <w:t>las</w:t>
        </w:r>
        <w:proofErr w:type="spellEnd"/>
        <w:r w:rsidRPr="002F56DF">
          <w:rPr>
            <w:rStyle w:val="Collegamentoipertestuale"/>
            <w:rFonts w:ascii="Georgia" w:hAnsi="Georgia"/>
            <w:i/>
          </w:rPr>
          <w:t xml:space="preserve"> </w:t>
        </w:r>
        <w:proofErr w:type="spellStart"/>
        <w:r w:rsidRPr="002F56DF">
          <w:rPr>
            <w:rStyle w:val="Collegamentoipertestuale"/>
            <w:rFonts w:ascii="Georgia" w:hAnsi="Georgia"/>
            <w:i/>
          </w:rPr>
          <w:t>condiciones</w:t>
        </w:r>
        <w:proofErr w:type="spellEnd"/>
        <w:r w:rsidRPr="002F56DF">
          <w:rPr>
            <w:rStyle w:val="Collegamentoipertestuale"/>
            <w:rFonts w:ascii="Georgia" w:hAnsi="Georgia"/>
            <w:i/>
          </w:rPr>
          <w:t xml:space="preserve"> </w:t>
        </w:r>
        <w:proofErr w:type="spellStart"/>
        <w:r w:rsidRPr="002F56DF">
          <w:rPr>
            <w:rStyle w:val="Collegamentoipertestuale"/>
            <w:rFonts w:ascii="Georgia" w:hAnsi="Georgia"/>
            <w:i/>
          </w:rPr>
          <w:t>administrativas</w:t>
        </w:r>
        <w:proofErr w:type="spellEnd"/>
        <w:r w:rsidRPr="002F56DF">
          <w:rPr>
            <w:rStyle w:val="Collegamentoipertestuale"/>
            <w:rFonts w:ascii="Georgia" w:hAnsi="Georgia"/>
            <w:i/>
          </w:rPr>
          <w:t xml:space="preserve">, </w:t>
        </w:r>
        <w:proofErr w:type="spellStart"/>
        <w:r w:rsidRPr="002F56DF">
          <w:rPr>
            <w:rStyle w:val="Collegamentoipertestuale"/>
            <w:rFonts w:ascii="Georgia" w:hAnsi="Georgia"/>
            <w:i/>
          </w:rPr>
          <w:t>técnicas</w:t>
        </w:r>
        <w:proofErr w:type="spellEnd"/>
        <w:r w:rsidRPr="002F56DF">
          <w:rPr>
            <w:rStyle w:val="Collegamentoipertestuale"/>
            <w:rFonts w:ascii="Georgia" w:hAnsi="Georgia"/>
            <w:i/>
          </w:rPr>
          <w:t xml:space="preserve"> y </w:t>
        </w:r>
        <w:proofErr w:type="spellStart"/>
        <w:r w:rsidRPr="002F56DF">
          <w:rPr>
            <w:rStyle w:val="Collegamentoipertestuale"/>
            <w:rFonts w:ascii="Georgia" w:hAnsi="Georgia"/>
            <w:i/>
          </w:rPr>
          <w:t>económicas</w:t>
        </w:r>
        <w:proofErr w:type="spellEnd"/>
        <w:r w:rsidRPr="002F56DF">
          <w:rPr>
            <w:rStyle w:val="Collegamentoipertestuale"/>
            <w:rFonts w:ascii="Georgia" w:hAnsi="Georgia"/>
            <w:i/>
          </w:rPr>
          <w:t xml:space="preserve"> de </w:t>
        </w:r>
        <w:proofErr w:type="spellStart"/>
        <w:r w:rsidRPr="002F56DF">
          <w:rPr>
            <w:rStyle w:val="Collegamentoipertestuale"/>
            <w:rFonts w:ascii="Georgia" w:hAnsi="Georgia"/>
            <w:i/>
          </w:rPr>
          <w:t>las</w:t>
        </w:r>
        <w:proofErr w:type="spellEnd"/>
        <w:r w:rsidRPr="002F56DF">
          <w:rPr>
            <w:rStyle w:val="Collegamentoipertestuale"/>
            <w:rFonts w:ascii="Georgia" w:hAnsi="Georgia"/>
            <w:i/>
          </w:rPr>
          <w:t xml:space="preserve"> </w:t>
        </w:r>
        <w:proofErr w:type="spellStart"/>
        <w:r w:rsidRPr="002F56DF">
          <w:rPr>
            <w:rStyle w:val="Collegamentoipertestuale"/>
            <w:rFonts w:ascii="Georgia" w:hAnsi="Georgia"/>
            <w:i/>
          </w:rPr>
          <w:t>modalidades</w:t>
        </w:r>
        <w:proofErr w:type="spellEnd"/>
        <w:r w:rsidRPr="002F56DF">
          <w:rPr>
            <w:rStyle w:val="Collegamentoipertestuale"/>
            <w:rFonts w:ascii="Georgia" w:hAnsi="Georgia"/>
            <w:i/>
          </w:rPr>
          <w:t xml:space="preserve"> de </w:t>
        </w:r>
        <w:proofErr w:type="spellStart"/>
        <w:r w:rsidRPr="002F56DF">
          <w:rPr>
            <w:rStyle w:val="Collegamentoipertestuale"/>
            <w:rFonts w:ascii="Georgia" w:hAnsi="Georgia"/>
            <w:i/>
          </w:rPr>
          <w:t>suministro</w:t>
        </w:r>
        <w:proofErr w:type="spellEnd"/>
        <w:r w:rsidRPr="002F56DF">
          <w:rPr>
            <w:rStyle w:val="Collegamentoipertestuale"/>
            <w:rFonts w:ascii="Georgia" w:hAnsi="Georgia"/>
            <w:i/>
          </w:rPr>
          <w:t xml:space="preserve"> de </w:t>
        </w:r>
        <w:proofErr w:type="spellStart"/>
        <w:r w:rsidRPr="002F56DF">
          <w:rPr>
            <w:rStyle w:val="Collegamentoipertestuale"/>
            <w:rFonts w:ascii="Georgia" w:hAnsi="Georgia"/>
            <w:i/>
          </w:rPr>
          <w:t>energía</w:t>
        </w:r>
        <w:proofErr w:type="spellEnd"/>
        <w:r w:rsidRPr="002F56DF">
          <w:rPr>
            <w:rStyle w:val="Collegamentoipertestuale"/>
            <w:rFonts w:ascii="Georgia" w:hAnsi="Georgia"/>
            <w:i/>
          </w:rPr>
          <w:t xml:space="preserve"> </w:t>
        </w:r>
        <w:proofErr w:type="spellStart"/>
        <w:r w:rsidRPr="002F56DF">
          <w:rPr>
            <w:rStyle w:val="Collegamentoipertestuale"/>
            <w:rFonts w:ascii="Georgia" w:hAnsi="Georgia"/>
            <w:i/>
          </w:rPr>
          <w:t>eléctrica</w:t>
        </w:r>
        <w:proofErr w:type="spellEnd"/>
        <w:r w:rsidRPr="002F56DF">
          <w:rPr>
            <w:rStyle w:val="Collegamentoipertestuale"/>
            <w:rFonts w:ascii="Georgia" w:hAnsi="Georgia"/>
            <w:i/>
          </w:rPr>
          <w:t xml:space="preserve"> con autoconsumo y de </w:t>
        </w:r>
        <w:proofErr w:type="spellStart"/>
        <w:r w:rsidRPr="002F56DF">
          <w:rPr>
            <w:rStyle w:val="Collegamentoipertestuale"/>
            <w:rFonts w:ascii="Georgia" w:hAnsi="Georgia"/>
            <w:i/>
          </w:rPr>
          <w:t>producción</w:t>
        </w:r>
        <w:proofErr w:type="spellEnd"/>
        <w:r w:rsidRPr="002F56DF">
          <w:rPr>
            <w:rStyle w:val="Collegamentoipertestuale"/>
            <w:rFonts w:ascii="Georgia" w:hAnsi="Georgia"/>
            <w:i/>
          </w:rPr>
          <w:t xml:space="preserve"> con autoconsumo</w:t>
        </w:r>
      </w:hyperlink>
      <w:r w:rsidRPr="005E2B73">
        <w:rPr>
          <w:rFonts w:ascii="Georgia" w:hAnsi="Georgia"/>
        </w:rPr>
        <w:t xml:space="preserve">, in materia di condizioni amministrative, tecniche ed economiche delle </w:t>
      </w:r>
      <w:r w:rsidRPr="005E2B73">
        <w:rPr>
          <w:rFonts w:ascii="Georgia" w:hAnsi="Georgia"/>
          <w:b/>
        </w:rPr>
        <w:t xml:space="preserve">modalità di fornitura di </w:t>
      </w:r>
      <w:r w:rsidRPr="005E2B73">
        <w:rPr>
          <w:rFonts w:ascii="Georgia" w:hAnsi="Georgia"/>
          <w:b/>
        </w:rPr>
        <w:lastRenderedPageBreak/>
        <w:t>energia elettrica da autoconsumo</w:t>
      </w:r>
      <w:r w:rsidRPr="005E2B73">
        <w:rPr>
          <w:rFonts w:ascii="Georgia" w:hAnsi="Georgia"/>
        </w:rPr>
        <w:t xml:space="preserve"> e produzione da autoconsumo. Esso ha classificato le installazioni di autoconsumo in due modalità: </w:t>
      </w:r>
      <w:r w:rsidR="004F4BBB">
        <w:rPr>
          <w:rFonts w:ascii="Georgia" w:hAnsi="Georgia"/>
        </w:rPr>
        <w:t>a)</w:t>
      </w:r>
      <w:r w:rsidRPr="005E2B73">
        <w:rPr>
          <w:rFonts w:ascii="Georgia" w:hAnsi="Georgia"/>
        </w:rPr>
        <w:t xml:space="preserve"> quando si tratti di un consumatore in un unico punto di fornitura o impianto che dispone nella sua rete interna di una o diverse installazioni generatrici di energia elettrica destinate al consumo proprio e non iscritti nel registro come impianto di produzione, la cui potenza non è superiore a 100kW; </w:t>
      </w:r>
      <w:r w:rsidR="004F4BBB">
        <w:rPr>
          <w:rFonts w:ascii="Georgia" w:hAnsi="Georgia"/>
        </w:rPr>
        <w:t>b)</w:t>
      </w:r>
      <w:r w:rsidRPr="005E2B73">
        <w:rPr>
          <w:rFonts w:ascii="Georgia" w:hAnsi="Georgia"/>
        </w:rPr>
        <w:t xml:space="preserve"> quando si tratti di un consumatore di energia elettrica in un punto di fornitura o installazione associato a una o più installazioni di produzione iscritte nel registro amministrativo connesse all’interno della rete o che condividano infrastrutture di connessione o connesse mediante una linea diretta, con un soggetto consumatore distinto dal soggetto produttore.</w:t>
      </w:r>
    </w:p>
    <w:p w:rsidR="00F736C2" w:rsidRPr="005E2B73" w:rsidRDefault="00F736C2" w:rsidP="00F736C2">
      <w:pPr>
        <w:spacing w:after="120"/>
        <w:ind w:firstLine="357"/>
        <w:jc w:val="both"/>
        <w:rPr>
          <w:rFonts w:ascii="Georgia" w:hAnsi="Georgia"/>
        </w:rPr>
      </w:pPr>
      <w:r w:rsidRPr="005E2B73">
        <w:rPr>
          <w:rFonts w:ascii="Georgia" w:hAnsi="Georgia"/>
        </w:rPr>
        <w:t xml:space="preserve">Il decreto ha previsto delle </w:t>
      </w:r>
      <w:r w:rsidRPr="005E2B73">
        <w:rPr>
          <w:rFonts w:ascii="Georgia" w:hAnsi="Georgia"/>
          <w:b/>
        </w:rPr>
        <w:t>tariffe di accesso</w:t>
      </w:r>
      <w:r w:rsidRPr="005E2B73">
        <w:rPr>
          <w:rFonts w:ascii="Georgia" w:hAnsi="Georgia"/>
        </w:rPr>
        <w:t xml:space="preserve"> (</w:t>
      </w:r>
      <w:proofErr w:type="spellStart"/>
      <w:r w:rsidRPr="005E2B73">
        <w:rPr>
          <w:rFonts w:ascii="Georgia" w:hAnsi="Georgia"/>
          <w:i/>
        </w:rPr>
        <w:t>peajes</w:t>
      </w:r>
      <w:proofErr w:type="spellEnd"/>
      <w:r w:rsidRPr="005E2B73">
        <w:rPr>
          <w:rFonts w:ascii="Georgia" w:hAnsi="Georgia"/>
          <w:i/>
        </w:rPr>
        <w:t xml:space="preserve"> de acceso</w:t>
      </w:r>
      <w:r w:rsidRPr="005E2B73">
        <w:rPr>
          <w:rFonts w:ascii="Georgia" w:hAnsi="Georgia"/>
        </w:rPr>
        <w:t>) alla rete di trasporto e distribuzione, che interessano sia la potenza, con un costo fisso, sia la produzione, a prescindere dal fatto se l’energia sia consumata in loco o immessa in rete. I proprietari di installazioni al di sotto dei 100 kW di capacità non possono rivendere il surplus elettrico alla rete, essendo obbligati a cederlo senza indennizzo. Il decreto prevede delle eccezioni alla tariffa per gli impianti fotovoltaici realizzati su isole e per i piccoli impianti con una potenza fino a 10 kW.</w:t>
      </w:r>
    </w:p>
    <w:p w:rsidR="00F736C2" w:rsidRPr="005E2B73" w:rsidRDefault="00F736C2" w:rsidP="00F736C2">
      <w:pPr>
        <w:spacing w:after="120"/>
        <w:ind w:firstLine="357"/>
        <w:jc w:val="both"/>
        <w:rPr>
          <w:rFonts w:ascii="Georgia" w:hAnsi="Georgia"/>
        </w:rPr>
      </w:pPr>
      <w:r w:rsidRPr="005E2B73">
        <w:rPr>
          <w:rFonts w:ascii="Georgia" w:hAnsi="Georgia"/>
        </w:rPr>
        <w:t xml:space="preserve">In materia di </w:t>
      </w:r>
      <w:r w:rsidRPr="005E2B73">
        <w:rPr>
          <w:rFonts w:ascii="Georgia" w:hAnsi="Georgia"/>
          <w:b/>
        </w:rPr>
        <w:t>mobilità elettrica</w:t>
      </w:r>
      <w:r w:rsidRPr="005E2B73">
        <w:rPr>
          <w:rFonts w:ascii="Georgia" w:hAnsi="Georgia"/>
        </w:rPr>
        <w:t xml:space="preserve"> si segnala la </w:t>
      </w:r>
      <w:r w:rsidRPr="005E2B73">
        <w:rPr>
          <w:rFonts w:ascii="Georgia" w:hAnsi="Georgia"/>
          <w:b/>
        </w:rPr>
        <w:t>Strategia integrale per la promozione del veicolo elettrico 2010-2014</w:t>
      </w:r>
      <w:r w:rsidRPr="005E2B73">
        <w:rPr>
          <w:rFonts w:ascii="Georgia" w:hAnsi="Georgia"/>
        </w:rPr>
        <w:t xml:space="preserve"> (</w:t>
      </w:r>
      <w:proofErr w:type="spellStart"/>
      <w:r w:rsidR="005E2B73" w:rsidRPr="005E2B73">
        <w:fldChar w:fldCharType="begin"/>
      </w:r>
      <w:r w:rsidR="005E2B73" w:rsidRPr="005E2B73">
        <w:rPr>
          <w:rFonts w:ascii="Georgia" w:hAnsi="Georgia"/>
        </w:rPr>
        <w:instrText xml:space="preserve"> HYPERLINK "http://www.minetad.gob.es/es-es/gabineteprensa/notasprensa/documents/estrategiaintegralveh%C3%ADculoelectrico060410.pdf" </w:instrText>
      </w:r>
      <w:r w:rsidR="005E2B73" w:rsidRPr="005E2B73">
        <w:fldChar w:fldCharType="separate"/>
      </w:r>
      <w:r w:rsidRPr="005E2B73">
        <w:rPr>
          <w:rStyle w:val="Collegamentoipertestuale"/>
          <w:rFonts w:ascii="Georgia" w:hAnsi="Georgia"/>
          <w:i/>
        </w:rPr>
        <w:t>Estrategia</w:t>
      </w:r>
      <w:proofErr w:type="spellEnd"/>
      <w:r w:rsidRPr="005E2B73">
        <w:rPr>
          <w:rStyle w:val="Collegamentoipertestuale"/>
          <w:rFonts w:ascii="Georgia" w:hAnsi="Georgia"/>
          <w:i/>
        </w:rPr>
        <w:t xml:space="preserve"> </w:t>
      </w:r>
      <w:proofErr w:type="spellStart"/>
      <w:r w:rsidRPr="005E2B73">
        <w:rPr>
          <w:rStyle w:val="Collegamentoipertestuale"/>
          <w:rFonts w:ascii="Georgia" w:hAnsi="Georgia"/>
          <w:i/>
        </w:rPr>
        <w:t>Integral</w:t>
      </w:r>
      <w:proofErr w:type="spellEnd"/>
      <w:r w:rsidRPr="005E2B73">
        <w:rPr>
          <w:rStyle w:val="Collegamentoipertestuale"/>
          <w:rFonts w:ascii="Georgia" w:hAnsi="Georgia"/>
          <w:i/>
        </w:rPr>
        <w:t xml:space="preserve"> para </w:t>
      </w:r>
      <w:proofErr w:type="spellStart"/>
      <w:r w:rsidRPr="005E2B73">
        <w:rPr>
          <w:rStyle w:val="Collegamentoipertestuale"/>
          <w:rFonts w:ascii="Georgia" w:hAnsi="Georgia"/>
          <w:i/>
        </w:rPr>
        <w:t>el</w:t>
      </w:r>
      <w:proofErr w:type="spellEnd"/>
      <w:r w:rsidRPr="005E2B73">
        <w:rPr>
          <w:rStyle w:val="Collegamentoipertestuale"/>
          <w:rFonts w:ascii="Georgia" w:hAnsi="Georgia"/>
          <w:i/>
        </w:rPr>
        <w:t xml:space="preserve"> Impulso del </w:t>
      </w:r>
      <w:proofErr w:type="spellStart"/>
      <w:r w:rsidRPr="005E2B73">
        <w:rPr>
          <w:rStyle w:val="Collegamentoipertestuale"/>
          <w:rFonts w:ascii="Georgia" w:hAnsi="Georgia"/>
          <w:i/>
        </w:rPr>
        <w:t>vehículo</w:t>
      </w:r>
      <w:proofErr w:type="spellEnd"/>
      <w:r w:rsidRPr="005E2B73">
        <w:rPr>
          <w:rStyle w:val="Collegamentoipertestuale"/>
          <w:rFonts w:ascii="Georgia" w:hAnsi="Georgia"/>
          <w:i/>
        </w:rPr>
        <w:t xml:space="preserve"> </w:t>
      </w:r>
      <w:proofErr w:type="spellStart"/>
      <w:r w:rsidRPr="005E2B73">
        <w:rPr>
          <w:rStyle w:val="Collegamentoipertestuale"/>
          <w:rFonts w:ascii="Georgia" w:hAnsi="Georgia"/>
          <w:i/>
        </w:rPr>
        <w:t>eléctrico</w:t>
      </w:r>
      <w:proofErr w:type="spellEnd"/>
      <w:r w:rsidRPr="005E2B73">
        <w:rPr>
          <w:rStyle w:val="Collegamentoipertestuale"/>
          <w:rFonts w:ascii="Georgia" w:hAnsi="Georgia"/>
          <w:i/>
        </w:rPr>
        <w:t xml:space="preserve"> 2010-2014</w:t>
      </w:r>
      <w:r w:rsidR="005E2B73" w:rsidRPr="005E2B73">
        <w:rPr>
          <w:rStyle w:val="Collegamentoipertestuale"/>
          <w:rFonts w:ascii="Georgia" w:hAnsi="Georgia"/>
          <w:i/>
        </w:rPr>
        <w:fldChar w:fldCharType="end"/>
      </w:r>
      <w:r w:rsidRPr="005E2B73">
        <w:rPr>
          <w:rFonts w:ascii="Georgia" w:hAnsi="Georgia"/>
        </w:rPr>
        <w:t>) che, al fine di facilitare l’introduzione dei veicoli elettrici, ha indicato alcune linee di intervento:</w:t>
      </w:r>
    </w:p>
    <w:p w:rsidR="00F736C2" w:rsidRPr="004F4BBB" w:rsidRDefault="00F736C2" w:rsidP="004F4BBB">
      <w:pPr>
        <w:pStyle w:val="Paragrafoelenco"/>
        <w:numPr>
          <w:ilvl w:val="0"/>
          <w:numId w:val="18"/>
        </w:numPr>
        <w:spacing w:after="60"/>
        <w:ind w:left="709" w:hanging="425"/>
        <w:contextualSpacing w:val="0"/>
        <w:jc w:val="both"/>
        <w:rPr>
          <w:rFonts w:ascii="Georgia" w:hAnsi="Georgia"/>
        </w:rPr>
      </w:pPr>
      <w:r w:rsidRPr="004F4BBB">
        <w:rPr>
          <w:rFonts w:ascii="Georgia" w:hAnsi="Georgia"/>
        </w:rPr>
        <w:t>sostegno alla domanda e alla promozione dell’utilizzo dei veicolo elettrico;</w:t>
      </w:r>
    </w:p>
    <w:p w:rsidR="00F736C2" w:rsidRPr="004F4BBB" w:rsidRDefault="00F736C2" w:rsidP="004F4BBB">
      <w:pPr>
        <w:pStyle w:val="Paragrafoelenco"/>
        <w:numPr>
          <w:ilvl w:val="0"/>
          <w:numId w:val="18"/>
        </w:numPr>
        <w:spacing w:after="60"/>
        <w:ind w:left="709" w:hanging="425"/>
        <w:contextualSpacing w:val="0"/>
        <w:jc w:val="both"/>
        <w:rPr>
          <w:rFonts w:ascii="Georgia" w:hAnsi="Georgia"/>
        </w:rPr>
      </w:pPr>
      <w:r w:rsidRPr="004F4BBB">
        <w:rPr>
          <w:rFonts w:ascii="Georgia" w:hAnsi="Georgia"/>
        </w:rPr>
        <w:t>sostegno all’industrializzazione e alla ricerca, sviluppo e innovazione in materia;</w:t>
      </w:r>
    </w:p>
    <w:p w:rsidR="00F736C2" w:rsidRPr="004F4BBB" w:rsidRDefault="00F736C2" w:rsidP="004F4BBB">
      <w:pPr>
        <w:pStyle w:val="Paragrafoelenco"/>
        <w:numPr>
          <w:ilvl w:val="0"/>
          <w:numId w:val="18"/>
        </w:numPr>
        <w:spacing w:after="120"/>
        <w:ind w:left="709" w:hanging="425"/>
        <w:jc w:val="both"/>
        <w:rPr>
          <w:rFonts w:ascii="Georgia" w:hAnsi="Georgia"/>
        </w:rPr>
      </w:pPr>
      <w:r w:rsidRPr="004F4BBB">
        <w:rPr>
          <w:rFonts w:ascii="Georgia" w:hAnsi="Georgia"/>
        </w:rPr>
        <w:t>sviluppo delle infrastrutture di ricarica e della gestione energetica.</w:t>
      </w:r>
    </w:p>
    <w:p w:rsidR="00F736C2" w:rsidRPr="005E2B73" w:rsidRDefault="00F736C2" w:rsidP="00F736C2">
      <w:pPr>
        <w:spacing w:after="120"/>
        <w:ind w:firstLine="357"/>
        <w:jc w:val="both"/>
        <w:rPr>
          <w:rFonts w:ascii="Georgia" w:hAnsi="Georgia"/>
        </w:rPr>
      </w:pPr>
      <w:r w:rsidRPr="005E2B73">
        <w:rPr>
          <w:rFonts w:ascii="Georgia" w:hAnsi="Georgia"/>
        </w:rPr>
        <w:t xml:space="preserve">Tali linee strategiche si strutturano in una serie di programmi con obiettivi specifici, tra </w:t>
      </w:r>
      <w:r w:rsidR="004F4BBB">
        <w:rPr>
          <w:rFonts w:ascii="Georgia" w:hAnsi="Georgia"/>
        </w:rPr>
        <w:t>i quali</w:t>
      </w:r>
      <w:r w:rsidRPr="005E2B73">
        <w:rPr>
          <w:rFonts w:ascii="Georgia" w:hAnsi="Georgia"/>
        </w:rPr>
        <w:t>: programma di sostegno alla domanda, programma di vantaggi urbani, programma di diffusione degli impianti di ricarica, programma di gestione della domanda energetica.</w:t>
      </w:r>
    </w:p>
    <w:p w:rsidR="00F736C2" w:rsidRDefault="00F736C2" w:rsidP="00F736C2">
      <w:pPr>
        <w:spacing w:after="120"/>
        <w:ind w:firstLine="357"/>
        <w:jc w:val="both"/>
        <w:rPr>
          <w:rFonts w:ascii="Georgia" w:hAnsi="Georgia"/>
        </w:rPr>
      </w:pPr>
      <w:r w:rsidRPr="005E2B73">
        <w:rPr>
          <w:rFonts w:ascii="Georgia" w:hAnsi="Georgia"/>
        </w:rPr>
        <w:t xml:space="preserve">Il </w:t>
      </w:r>
      <w:hyperlink r:id="rId45" w:history="1">
        <w:r w:rsidRPr="004F4BBB">
          <w:rPr>
            <w:rStyle w:val="Collegamentoipertestuale"/>
            <w:rFonts w:ascii="Georgia" w:hAnsi="Georgia"/>
            <w:i/>
          </w:rPr>
          <w:t xml:space="preserve">Real Decreto 287/2015, de 17 de </w:t>
        </w:r>
        <w:proofErr w:type="spellStart"/>
        <w:r w:rsidRPr="004F4BBB">
          <w:rPr>
            <w:rStyle w:val="Collegamentoipertestuale"/>
            <w:rFonts w:ascii="Georgia" w:hAnsi="Georgia"/>
            <w:i/>
          </w:rPr>
          <w:t>abril</w:t>
        </w:r>
        <w:proofErr w:type="spellEnd"/>
        <w:r w:rsidRPr="004F4BBB">
          <w:rPr>
            <w:rStyle w:val="Collegamentoipertestuale"/>
            <w:rFonts w:ascii="Georgia" w:hAnsi="Georgia"/>
            <w:i/>
          </w:rPr>
          <w:t xml:space="preserve">, por </w:t>
        </w:r>
        <w:proofErr w:type="spellStart"/>
        <w:r w:rsidRPr="004F4BBB">
          <w:rPr>
            <w:rStyle w:val="Collegamentoipertestuale"/>
            <w:rFonts w:ascii="Georgia" w:hAnsi="Georgia"/>
            <w:i/>
          </w:rPr>
          <w:t>el</w:t>
        </w:r>
        <w:proofErr w:type="spellEnd"/>
        <w:r w:rsidRPr="004F4BBB">
          <w:rPr>
            <w:rStyle w:val="Collegamentoipertestuale"/>
            <w:rFonts w:ascii="Georgia" w:hAnsi="Georgia"/>
            <w:i/>
          </w:rPr>
          <w:t xml:space="preserve"> </w:t>
        </w:r>
        <w:proofErr w:type="spellStart"/>
        <w:r w:rsidRPr="004F4BBB">
          <w:rPr>
            <w:rStyle w:val="Collegamentoipertestuale"/>
            <w:rFonts w:ascii="Georgia" w:hAnsi="Georgia"/>
            <w:i/>
          </w:rPr>
          <w:t>que</w:t>
        </w:r>
        <w:proofErr w:type="spellEnd"/>
        <w:r w:rsidRPr="004F4BBB">
          <w:rPr>
            <w:rStyle w:val="Collegamentoipertestuale"/>
            <w:rFonts w:ascii="Georgia" w:hAnsi="Georgia"/>
            <w:i/>
          </w:rPr>
          <w:t xml:space="preserve"> se </w:t>
        </w:r>
        <w:proofErr w:type="spellStart"/>
        <w:r w:rsidRPr="004F4BBB">
          <w:rPr>
            <w:rStyle w:val="Collegamentoipertestuale"/>
            <w:rFonts w:ascii="Georgia" w:hAnsi="Georgia"/>
            <w:i/>
          </w:rPr>
          <w:t>regula</w:t>
        </w:r>
        <w:proofErr w:type="spellEnd"/>
        <w:r w:rsidRPr="004F4BBB">
          <w:rPr>
            <w:rStyle w:val="Collegamentoipertestuale"/>
            <w:rFonts w:ascii="Georgia" w:hAnsi="Georgia"/>
            <w:i/>
          </w:rPr>
          <w:t xml:space="preserve"> la </w:t>
        </w:r>
        <w:proofErr w:type="spellStart"/>
        <w:r w:rsidRPr="004F4BBB">
          <w:rPr>
            <w:rStyle w:val="Collegamentoipertestuale"/>
            <w:rFonts w:ascii="Georgia" w:hAnsi="Georgia"/>
            <w:i/>
          </w:rPr>
          <w:t>concesión</w:t>
        </w:r>
        <w:proofErr w:type="spellEnd"/>
        <w:r w:rsidRPr="004F4BBB">
          <w:rPr>
            <w:rStyle w:val="Collegamentoipertestuale"/>
            <w:rFonts w:ascii="Georgia" w:hAnsi="Georgia"/>
            <w:i/>
          </w:rPr>
          <w:t xml:space="preserve"> </w:t>
        </w:r>
        <w:proofErr w:type="spellStart"/>
        <w:r w:rsidRPr="004F4BBB">
          <w:rPr>
            <w:rStyle w:val="Collegamentoipertestuale"/>
            <w:rFonts w:ascii="Georgia" w:hAnsi="Georgia"/>
            <w:i/>
          </w:rPr>
          <w:t>directa</w:t>
        </w:r>
        <w:proofErr w:type="spellEnd"/>
        <w:r w:rsidRPr="004F4BBB">
          <w:rPr>
            <w:rStyle w:val="Collegamentoipertestuale"/>
            <w:rFonts w:ascii="Georgia" w:hAnsi="Georgia"/>
            <w:i/>
          </w:rPr>
          <w:t xml:space="preserve"> de </w:t>
        </w:r>
        <w:proofErr w:type="spellStart"/>
        <w:r w:rsidRPr="004F4BBB">
          <w:rPr>
            <w:rStyle w:val="Collegamentoipertestuale"/>
            <w:rFonts w:ascii="Georgia" w:hAnsi="Georgia"/>
            <w:i/>
          </w:rPr>
          <w:t>subvenciones</w:t>
        </w:r>
        <w:proofErr w:type="spellEnd"/>
        <w:r w:rsidRPr="004F4BBB">
          <w:rPr>
            <w:rStyle w:val="Collegamentoipertestuale"/>
            <w:rFonts w:ascii="Georgia" w:hAnsi="Georgia"/>
            <w:i/>
          </w:rPr>
          <w:t xml:space="preserve"> para la </w:t>
        </w:r>
        <w:proofErr w:type="spellStart"/>
        <w:r w:rsidRPr="004F4BBB">
          <w:rPr>
            <w:rStyle w:val="Collegamentoipertestuale"/>
            <w:rFonts w:ascii="Georgia" w:hAnsi="Georgia"/>
            <w:i/>
          </w:rPr>
          <w:t>adquisición</w:t>
        </w:r>
        <w:proofErr w:type="spellEnd"/>
        <w:r w:rsidRPr="004F4BBB">
          <w:rPr>
            <w:rStyle w:val="Collegamentoipertestuale"/>
            <w:rFonts w:ascii="Georgia" w:hAnsi="Georgia"/>
            <w:i/>
          </w:rPr>
          <w:t xml:space="preserve"> de </w:t>
        </w:r>
        <w:proofErr w:type="spellStart"/>
        <w:r w:rsidRPr="004F4BBB">
          <w:rPr>
            <w:rStyle w:val="Collegamentoipertestuale"/>
            <w:rFonts w:ascii="Georgia" w:hAnsi="Georgia"/>
            <w:i/>
          </w:rPr>
          <w:t>vehículos</w:t>
        </w:r>
        <w:proofErr w:type="spellEnd"/>
        <w:r w:rsidRPr="004F4BBB">
          <w:rPr>
            <w:rStyle w:val="Collegamentoipertestuale"/>
            <w:rFonts w:ascii="Georgia" w:hAnsi="Georgia"/>
            <w:i/>
          </w:rPr>
          <w:t xml:space="preserve"> </w:t>
        </w:r>
        <w:proofErr w:type="spellStart"/>
        <w:r w:rsidRPr="004F4BBB">
          <w:rPr>
            <w:rStyle w:val="Collegamentoipertestuale"/>
            <w:rFonts w:ascii="Georgia" w:hAnsi="Georgia"/>
            <w:i/>
          </w:rPr>
          <w:t>eléctricos</w:t>
        </w:r>
        <w:proofErr w:type="spellEnd"/>
        <w:r w:rsidRPr="004F4BBB">
          <w:rPr>
            <w:rStyle w:val="Collegamentoipertestuale"/>
            <w:rFonts w:ascii="Georgia" w:hAnsi="Georgia"/>
            <w:i/>
          </w:rPr>
          <w:t xml:space="preserve"> en 2015 (</w:t>
        </w:r>
        <w:proofErr w:type="spellStart"/>
        <w:r w:rsidRPr="004F4BBB">
          <w:rPr>
            <w:rStyle w:val="Collegamentoipertestuale"/>
            <w:rFonts w:ascii="Georgia" w:hAnsi="Georgia"/>
            <w:i/>
          </w:rPr>
          <w:t>Programa</w:t>
        </w:r>
        <w:proofErr w:type="spellEnd"/>
        <w:r w:rsidRPr="004F4BBB">
          <w:rPr>
            <w:rStyle w:val="Collegamentoipertestuale"/>
            <w:rFonts w:ascii="Georgia" w:hAnsi="Georgia"/>
            <w:i/>
          </w:rPr>
          <w:t xml:space="preserve"> MOVELE 2015)</w:t>
        </w:r>
      </w:hyperlink>
      <w:r w:rsidRPr="005E2B73">
        <w:rPr>
          <w:rFonts w:ascii="Georgia" w:hAnsi="Georgia"/>
        </w:rPr>
        <w:t xml:space="preserve"> ha predisposto la concessione diretta di </w:t>
      </w:r>
      <w:r w:rsidRPr="005E2B73">
        <w:rPr>
          <w:rFonts w:ascii="Georgia" w:hAnsi="Georgia"/>
          <w:b/>
        </w:rPr>
        <w:t>sovvenzioni all’acquisizione di veicoli elettrici nuovi</w:t>
      </w:r>
      <w:r w:rsidRPr="005E2B73">
        <w:rPr>
          <w:rFonts w:ascii="Georgia" w:hAnsi="Georgia"/>
        </w:rPr>
        <w:t xml:space="preserve">, intendendo come tali quelli la cui energia di propulsione deriva, in tutto o in parte, dall’elettricità delle loro batterie caricate attraverso la rete elettrica, facilitando e favorendo lo sviluppo della mobilità elettrica per il suo contributo al miglioramento dei trasporti, dell’efficienza energetica e ambientale, oltre a ridurre la dipendenza energetica dal settore petrolifero. Il finanziamento previsto è pari a </w:t>
      </w:r>
      <w:r w:rsidRPr="005E2B73">
        <w:rPr>
          <w:rFonts w:ascii="Georgia" w:hAnsi="Georgia"/>
          <w:b/>
        </w:rPr>
        <w:t>7.000.000 di euro</w:t>
      </w:r>
      <w:r w:rsidRPr="005E2B73">
        <w:rPr>
          <w:rFonts w:ascii="Georgia" w:hAnsi="Georgia"/>
        </w:rPr>
        <w:t>.</w:t>
      </w:r>
    </w:p>
    <w:p w:rsidR="002203D1" w:rsidRPr="002203D1" w:rsidRDefault="002203D1" w:rsidP="002203D1">
      <w:pPr>
        <w:spacing w:after="120"/>
        <w:ind w:firstLine="357"/>
        <w:jc w:val="both"/>
        <w:rPr>
          <w:rFonts w:ascii="Georgia" w:hAnsi="Georgia"/>
        </w:rPr>
      </w:pPr>
      <w:r w:rsidRPr="002203D1">
        <w:rPr>
          <w:rFonts w:ascii="Georgia" w:hAnsi="Georgia"/>
        </w:rPr>
        <w:t xml:space="preserve">La </w:t>
      </w:r>
      <w:r w:rsidRPr="002203D1">
        <w:rPr>
          <w:rFonts w:ascii="Georgia" w:hAnsi="Georgia"/>
          <w:b/>
        </w:rPr>
        <w:t>Strategia di promozione del veicolo ad energie alternative 2014-2020</w:t>
      </w:r>
      <w:r w:rsidRPr="002203D1">
        <w:rPr>
          <w:rFonts w:ascii="Georgia" w:hAnsi="Georgia"/>
        </w:rPr>
        <w:t xml:space="preserve"> (</w:t>
      </w:r>
      <w:proofErr w:type="spellStart"/>
      <w:r w:rsidRPr="002203D1">
        <w:rPr>
          <w:rFonts w:ascii="Georgia" w:hAnsi="Georgia"/>
          <w:i/>
        </w:rPr>
        <w:fldChar w:fldCharType="begin"/>
      </w:r>
      <w:r w:rsidRPr="002203D1">
        <w:rPr>
          <w:rFonts w:ascii="Georgia" w:hAnsi="Georgia"/>
          <w:i/>
        </w:rPr>
        <w:instrText xml:space="preserve"> HYPERLINK "http://www.minetad.gob.es/industria/es-ES/Servicios/estrategia-impulso-vehiculo-energias-alternativas/Documents/Estrategia-Impulso-Vehiculo-Energ%C3%ADas%20Alternativas-VEA-Espa%C3%B1a-2014-2020.pdf" </w:instrText>
      </w:r>
      <w:r w:rsidRPr="002203D1">
        <w:rPr>
          <w:rFonts w:ascii="Georgia" w:hAnsi="Georgia"/>
          <w:i/>
        </w:rPr>
        <w:fldChar w:fldCharType="separate"/>
      </w:r>
      <w:r w:rsidRPr="002203D1">
        <w:rPr>
          <w:rStyle w:val="Collegamentoipertestuale"/>
          <w:rFonts w:ascii="Georgia" w:hAnsi="Georgia"/>
          <w:i/>
        </w:rPr>
        <w:t>Estrategia</w:t>
      </w:r>
      <w:proofErr w:type="spellEnd"/>
      <w:r w:rsidRPr="002203D1">
        <w:rPr>
          <w:rStyle w:val="Collegamentoipertestuale"/>
          <w:rFonts w:ascii="Georgia" w:hAnsi="Georgia"/>
          <w:i/>
        </w:rPr>
        <w:t xml:space="preserve"> de Impulso del </w:t>
      </w:r>
      <w:proofErr w:type="spellStart"/>
      <w:r w:rsidRPr="002203D1">
        <w:rPr>
          <w:rStyle w:val="Collegamentoipertestuale"/>
          <w:rFonts w:ascii="Georgia" w:hAnsi="Georgia"/>
          <w:i/>
        </w:rPr>
        <w:t>vehículo</w:t>
      </w:r>
      <w:proofErr w:type="spellEnd"/>
      <w:r w:rsidRPr="002203D1">
        <w:rPr>
          <w:rStyle w:val="Collegamentoipertestuale"/>
          <w:rFonts w:ascii="Georgia" w:hAnsi="Georgia"/>
          <w:i/>
        </w:rPr>
        <w:t xml:space="preserve"> con </w:t>
      </w:r>
      <w:proofErr w:type="spellStart"/>
      <w:r w:rsidRPr="002203D1">
        <w:rPr>
          <w:rStyle w:val="Collegamentoipertestuale"/>
          <w:rFonts w:ascii="Georgia" w:hAnsi="Georgia"/>
          <w:i/>
        </w:rPr>
        <w:t>energías</w:t>
      </w:r>
      <w:proofErr w:type="spellEnd"/>
      <w:r w:rsidRPr="002203D1">
        <w:rPr>
          <w:rStyle w:val="Collegamentoipertestuale"/>
          <w:rFonts w:ascii="Georgia" w:hAnsi="Georgia"/>
          <w:i/>
        </w:rPr>
        <w:t xml:space="preserve"> </w:t>
      </w:r>
      <w:proofErr w:type="spellStart"/>
      <w:r w:rsidRPr="002203D1">
        <w:rPr>
          <w:rStyle w:val="Collegamentoipertestuale"/>
          <w:rFonts w:ascii="Georgia" w:hAnsi="Georgia"/>
          <w:i/>
        </w:rPr>
        <w:t>alternativas</w:t>
      </w:r>
      <w:proofErr w:type="spellEnd"/>
      <w:r w:rsidRPr="002203D1">
        <w:rPr>
          <w:rStyle w:val="Collegamentoipertestuale"/>
          <w:rFonts w:ascii="Georgia" w:hAnsi="Georgia"/>
          <w:i/>
        </w:rPr>
        <w:t xml:space="preserve"> (VEA) en </w:t>
      </w:r>
      <w:proofErr w:type="spellStart"/>
      <w:r w:rsidRPr="002203D1">
        <w:rPr>
          <w:rStyle w:val="Collegamentoipertestuale"/>
          <w:rFonts w:ascii="Georgia" w:hAnsi="Georgia"/>
          <w:i/>
        </w:rPr>
        <w:t>España</w:t>
      </w:r>
      <w:proofErr w:type="spellEnd"/>
      <w:r w:rsidRPr="002203D1">
        <w:rPr>
          <w:rStyle w:val="Collegamentoipertestuale"/>
          <w:rFonts w:ascii="Georgia" w:hAnsi="Georgia"/>
          <w:i/>
        </w:rPr>
        <w:t xml:space="preserve"> (2014-2020)</w:t>
      </w:r>
      <w:r w:rsidRPr="002203D1">
        <w:rPr>
          <w:rFonts w:ascii="Georgia" w:hAnsi="Georgia"/>
        </w:rPr>
        <w:fldChar w:fldCharType="end"/>
      </w:r>
      <w:r w:rsidRPr="002203D1">
        <w:rPr>
          <w:rFonts w:ascii="Georgia" w:hAnsi="Georgia"/>
        </w:rPr>
        <w:t xml:space="preserve">) contiene un piano integrale di sostegno ai veicoli con energie alternative. La Strategia si struttura in cinque linee </w:t>
      </w:r>
      <w:r w:rsidRPr="002203D1">
        <w:rPr>
          <w:rFonts w:ascii="Georgia" w:hAnsi="Georgia"/>
        </w:rPr>
        <w:lastRenderedPageBreak/>
        <w:t xml:space="preserve">strategiche e trenta misure all’interno di tre assi di intervento: </w:t>
      </w:r>
      <w:r w:rsidRPr="002203D1">
        <w:rPr>
          <w:rFonts w:ascii="Georgia" w:hAnsi="Georgia"/>
          <w:b/>
        </w:rPr>
        <w:t>industrializzazione</w:t>
      </w:r>
      <w:r w:rsidRPr="002203D1">
        <w:rPr>
          <w:rFonts w:ascii="Georgia" w:hAnsi="Georgia"/>
        </w:rPr>
        <w:t xml:space="preserve">, </w:t>
      </w:r>
      <w:r w:rsidRPr="002203D1">
        <w:rPr>
          <w:rFonts w:ascii="Georgia" w:hAnsi="Georgia"/>
          <w:b/>
        </w:rPr>
        <w:t>mercato</w:t>
      </w:r>
      <w:r w:rsidRPr="002203D1">
        <w:rPr>
          <w:rFonts w:ascii="Georgia" w:hAnsi="Georgia"/>
        </w:rPr>
        <w:t xml:space="preserve"> e </w:t>
      </w:r>
      <w:r w:rsidRPr="002203D1">
        <w:rPr>
          <w:rFonts w:ascii="Georgia" w:hAnsi="Georgia"/>
          <w:b/>
        </w:rPr>
        <w:t>infrastruttura</w:t>
      </w:r>
      <w:r w:rsidRPr="002203D1">
        <w:rPr>
          <w:rFonts w:ascii="Georgia" w:hAnsi="Georgia"/>
        </w:rPr>
        <w:t>.</w:t>
      </w:r>
    </w:p>
    <w:p w:rsidR="002203D1" w:rsidRPr="002203D1" w:rsidRDefault="002203D1" w:rsidP="002203D1">
      <w:pPr>
        <w:spacing w:after="120"/>
        <w:ind w:firstLine="357"/>
        <w:jc w:val="both"/>
        <w:rPr>
          <w:rFonts w:ascii="Georgia" w:hAnsi="Georgia"/>
        </w:rPr>
      </w:pPr>
      <w:r w:rsidRPr="002203D1">
        <w:rPr>
          <w:rFonts w:ascii="Georgia" w:hAnsi="Georgia"/>
        </w:rPr>
        <w:t>Per quanto concerne l’industrializzazione, l’obiettivo è facilitare lo sviluppo e massimizzare l’industrializzazione di componenti e moduli specifici per i veicoli ad energia alternativa (bus turistici, commerciali, autobus, camion, moto e biciclette elettriche) e dell’infrastruttura energetica associata, nonché di stabilire linee di fabbricazione di questi veicoli in Spagna.</w:t>
      </w:r>
    </w:p>
    <w:p w:rsidR="002203D1" w:rsidRPr="002203D1" w:rsidRDefault="002203D1" w:rsidP="002203D1">
      <w:pPr>
        <w:spacing w:after="120"/>
        <w:ind w:firstLine="357"/>
        <w:jc w:val="both"/>
        <w:rPr>
          <w:rFonts w:ascii="Georgia" w:hAnsi="Georgia"/>
        </w:rPr>
      </w:pPr>
      <w:r w:rsidRPr="002203D1">
        <w:rPr>
          <w:rFonts w:ascii="Georgia" w:hAnsi="Georgia"/>
        </w:rPr>
        <w:t>Per il mercato, sono definite azioni di sostegno alla domanda per conseguire un mercato sufficiente che sostenga le economie di scala e l’offerta, permettendo di consolidare le infrastrutture e l’industrializzazione. Sono previste misure di diffusione di nuovi combustibili e tecnologie nonché misure di stimolo all’acquisto di veicoli.</w:t>
      </w:r>
    </w:p>
    <w:p w:rsidR="002203D1" w:rsidRPr="005E2B73" w:rsidRDefault="002203D1" w:rsidP="002203D1">
      <w:pPr>
        <w:spacing w:after="120"/>
        <w:ind w:firstLine="357"/>
        <w:jc w:val="both"/>
        <w:rPr>
          <w:rFonts w:ascii="Georgia" w:hAnsi="Georgia"/>
        </w:rPr>
      </w:pPr>
      <w:r w:rsidRPr="002203D1">
        <w:rPr>
          <w:rFonts w:ascii="Georgia" w:hAnsi="Georgia"/>
        </w:rPr>
        <w:t xml:space="preserve">Per l’asse delle infrastrutture, sono previste misure per favorire una rete che permetta di coprire le necessità di mobilità degli utenti e favorire lo sviluppo di un mercato di combustibili alternativi. </w:t>
      </w:r>
    </w:p>
    <w:p w:rsidR="00F736C2" w:rsidRPr="005E2B73" w:rsidRDefault="00F736C2" w:rsidP="00F736C2">
      <w:pPr>
        <w:spacing w:after="120"/>
        <w:ind w:firstLine="357"/>
        <w:jc w:val="both"/>
        <w:rPr>
          <w:rFonts w:ascii="Georgia" w:hAnsi="Georgia"/>
        </w:rPr>
      </w:pPr>
      <w:r w:rsidRPr="005E2B73">
        <w:rPr>
          <w:rFonts w:ascii="Georgia" w:hAnsi="Georgia"/>
        </w:rPr>
        <w:t xml:space="preserve">Il </w:t>
      </w:r>
      <w:hyperlink r:id="rId46" w:history="1">
        <w:r w:rsidRPr="004F4BBB">
          <w:rPr>
            <w:rStyle w:val="Collegamentoipertestuale"/>
            <w:rFonts w:ascii="Georgia" w:hAnsi="Georgia"/>
            <w:i/>
          </w:rPr>
          <w:t xml:space="preserve">Real Decreto 1078/2015, de 27 de </w:t>
        </w:r>
        <w:proofErr w:type="spellStart"/>
        <w:r w:rsidRPr="004F4BBB">
          <w:rPr>
            <w:rStyle w:val="Collegamentoipertestuale"/>
            <w:rFonts w:ascii="Georgia" w:hAnsi="Georgia"/>
            <w:i/>
          </w:rPr>
          <w:t>noviembre</w:t>
        </w:r>
        <w:proofErr w:type="spellEnd"/>
        <w:r w:rsidRPr="004F4BBB">
          <w:rPr>
            <w:rStyle w:val="Collegamentoipertestuale"/>
            <w:rFonts w:ascii="Georgia" w:hAnsi="Georgia"/>
            <w:i/>
          </w:rPr>
          <w:t xml:space="preserve">, por </w:t>
        </w:r>
        <w:proofErr w:type="spellStart"/>
        <w:r w:rsidRPr="004F4BBB">
          <w:rPr>
            <w:rStyle w:val="Collegamentoipertestuale"/>
            <w:rFonts w:ascii="Georgia" w:hAnsi="Georgia"/>
            <w:i/>
          </w:rPr>
          <w:t>el</w:t>
        </w:r>
        <w:proofErr w:type="spellEnd"/>
        <w:r w:rsidRPr="004F4BBB">
          <w:rPr>
            <w:rStyle w:val="Collegamentoipertestuale"/>
            <w:rFonts w:ascii="Georgia" w:hAnsi="Georgia"/>
            <w:i/>
          </w:rPr>
          <w:t xml:space="preserve"> </w:t>
        </w:r>
        <w:proofErr w:type="spellStart"/>
        <w:r w:rsidRPr="004F4BBB">
          <w:rPr>
            <w:rStyle w:val="Collegamentoipertestuale"/>
            <w:rFonts w:ascii="Georgia" w:hAnsi="Georgia"/>
            <w:i/>
          </w:rPr>
          <w:t>que</w:t>
        </w:r>
        <w:proofErr w:type="spellEnd"/>
        <w:r w:rsidRPr="004F4BBB">
          <w:rPr>
            <w:rStyle w:val="Collegamentoipertestuale"/>
            <w:rFonts w:ascii="Georgia" w:hAnsi="Georgia"/>
            <w:i/>
          </w:rPr>
          <w:t xml:space="preserve"> se </w:t>
        </w:r>
        <w:proofErr w:type="spellStart"/>
        <w:r w:rsidRPr="004F4BBB">
          <w:rPr>
            <w:rStyle w:val="Collegamentoipertestuale"/>
            <w:rFonts w:ascii="Georgia" w:hAnsi="Georgia"/>
            <w:i/>
          </w:rPr>
          <w:t>regula</w:t>
        </w:r>
        <w:proofErr w:type="spellEnd"/>
        <w:r w:rsidRPr="004F4BBB">
          <w:rPr>
            <w:rStyle w:val="Collegamentoipertestuale"/>
            <w:rFonts w:ascii="Georgia" w:hAnsi="Georgia"/>
            <w:i/>
          </w:rPr>
          <w:t xml:space="preserve"> la </w:t>
        </w:r>
        <w:proofErr w:type="spellStart"/>
        <w:r w:rsidRPr="004F4BBB">
          <w:rPr>
            <w:rStyle w:val="Collegamentoipertestuale"/>
            <w:rFonts w:ascii="Georgia" w:hAnsi="Georgia"/>
            <w:i/>
          </w:rPr>
          <w:t>concesión</w:t>
        </w:r>
        <w:proofErr w:type="spellEnd"/>
        <w:r w:rsidRPr="004F4BBB">
          <w:rPr>
            <w:rStyle w:val="Collegamentoipertestuale"/>
            <w:rFonts w:ascii="Georgia" w:hAnsi="Georgia"/>
            <w:i/>
          </w:rPr>
          <w:t xml:space="preserve"> </w:t>
        </w:r>
        <w:proofErr w:type="spellStart"/>
        <w:r w:rsidRPr="004F4BBB">
          <w:rPr>
            <w:rStyle w:val="Collegamentoipertestuale"/>
            <w:rFonts w:ascii="Georgia" w:hAnsi="Georgia"/>
            <w:i/>
          </w:rPr>
          <w:t>directa</w:t>
        </w:r>
        <w:proofErr w:type="spellEnd"/>
        <w:r w:rsidRPr="004F4BBB">
          <w:rPr>
            <w:rStyle w:val="Collegamentoipertestuale"/>
            <w:rFonts w:ascii="Georgia" w:hAnsi="Georgia"/>
            <w:i/>
          </w:rPr>
          <w:t xml:space="preserve"> de </w:t>
        </w:r>
        <w:proofErr w:type="spellStart"/>
        <w:r w:rsidRPr="004F4BBB">
          <w:rPr>
            <w:rStyle w:val="Collegamentoipertestuale"/>
            <w:rFonts w:ascii="Georgia" w:hAnsi="Georgia"/>
            <w:i/>
          </w:rPr>
          <w:t>ayudas</w:t>
        </w:r>
        <w:proofErr w:type="spellEnd"/>
        <w:r w:rsidRPr="004F4BBB">
          <w:rPr>
            <w:rStyle w:val="Collegamentoipertestuale"/>
            <w:rFonts w:ascii="Georgia" w:hAnsi="Georgia"/>
            <w:i/>
          </w:rPr>
          <w:t xml:space="preserve"> para la </w:t>
        </w:r>
        <w:proofErr w:type="spellStart"/>
        <w:r w:rsidRPr="004F4BBB">
          <w:rPr>
            <w:rStyle w:val="Collegamentoipertestuale"/>
            <w:rFonts w:ascii="Georgia" w:hAnsi="Georgia"/>
            <w:i/>
          </w:rPr>
          <w:t>adquisición</w:t>
        </w:r>
        <w:proofErr w:type="spellEnd"/>
        <w:r w:rsidRPr="004F4BBB">
          <w:rPr>
            <w:rStyle w:val="Collegamentoipertestuale"/>
            <w:rFonts w:ascii="Georgia" w:hAnsi="Georgia"/>
            <w:i/>
          </w:rPr>
          <w:t xml:space="preserve"> de </w:t>
        </w:r>
        <w:proofErr w:type="spellStart"/>
        <w:r w:rsidRPr="004F4BBB">
          <w:rPr>
            <w:rStyle w:val="Collegamentoipertestuale"/>
            <w:rFonts w:ascii="Georgia" w:hAnsi="Georgia"/>
            <w:i/>
          </w:rPr>
          <w:t>vehículos</w:t>
        </w:r>
        <w:proofErr w:type="spellEnd"/>
        <w:r w:rsidRPr="004F4BBB">
          <w:rPr>
            <w:rStyle w:val="Collegamentoipertestuale"/>
            <w:rFonts w:ascii="Georgia" w:hAnsi="Georgia"/>
            <w:i/>
          </w:rPr>
          <w:t xml:space="preserve"> de </w:t>
        </w:r>
        <w:proofErr w:type="spellStart"/>
        <w:r w:rsidRPr="004F4BBB">
          <w:rPr>
            <w:rStyle w:val="Collegamentoipertestuale"/>
            <w:rFonts w:ascii="Georgia" w:hAnsi="Georgia"/>
            <w:i/>
          </w:rPr>
          <w:t>energías</w:t>
        </w:r>
        <w:proofErr w:type="spellEnd"/>
        <w:r w:rsidRPr="004F4BBB">
          <w:rPr>
            <w:rStyle w:val="Collegamentoipertestuale"/>
            <w:rFonts w:ascii="Georgia" w:hAnsi="Georgia"/>
            <w:i/>
          </w:rPr>
          <w:t xml:space="preserve"> </w:t>
        </w:r>
        <w:proofErr w:type="spellStart"/>
        <w:r w:rsidRPr="004F4BBB">
          <w:rPr>
            <w:rStyle w:val="Collegamentoipertestuale"/>
            <w:rFonts w:ascii="Georgia" w:hAnsi="Georgia"/>
            <w:i/>
          </w:rPr>
          <w:t>alternativas</w:t>
        </w:r>
        <w:proofErr w:type="spellEnd"/>
        <w:r w:rsidRPr="004F4BBB">
          <w:rPr>
            <w:rStyle w:val="Collegamentoipertestuale"/>
            <w:rFonts w:ascii="Georgia" w:hAnsi="Georgia"/>
            <w:i/>
          </w:rPr>
          <w:t xml:space="preserve">, y para la </w:t>
        </w:r>
        <w:proofErr w:type="spellStart"/>
        <w:r w:rsidRPr="004F4BBB">
          <w:rPr>
            <w:rStyle w:val="Collegamentoipertestuale"/>
            <w:rFonts w:ascii="Georgia" w:hAnsi="Georgia"/>
            <w:i/>
          </w:rPr>
          <w:t>implantación</w:t>
        </w:r>
        <w:proofErr w:type="spellEnd"/>
        <w:r w:rsidRPr="004F4BBB">
          <w:rPr>
            <w:rStyle w:val="Collegamentoipertestuale"/>
            <w:rFonts w:ascii="Georgia" w:hAnsi="Georgia"/>
            <w:i/>
          </w:rPr>
          <w:t xml:space="preserve"> de </w:t>
        </w:r>
        <w:proofErr w:type="spellStart"/>
        <w:r w:rsidRPr="004F4BBB">
          <w:rPr>
            <w:rStyle w:val="Collegamentoipertestuale"/>
            <w:rFonts w:ascii="Georgia" w:hAnsi="Georgia"/>
            <w:i/>
          </w:rPr>
          <w:t>puntos</w:t>
        </w:r>
        <w:proofErr w:type="spellEnd"/>
        <w:r w:rsidRPr="004F4BBB">
          <w:rPr>
            <w:rStyle w:val="Collegamentoipertestuale"/>
            <w:rFonts w:ascii="Georgia" w:hAnsi="Georgia"/>
            <w:i/>
          </w:rPr>
          <w:t xml:space="preserve"> de </w:t>
        </w:r>
        <w:proofErr w:type="spellStart"/>
        <w:r w:rsidRPr="004F4BBB">
          <w:rPr>
            <w:rStyle w:val="Collegamentoipertestuale"/>
            <w:rFonts w:ascii="Georgia" w:hAnsi="Georgia"/>
            <w:i/>
          </w:rPr>
          <w:t>recarga</w:t>
        </w:r>
        <w:proofErr w:type="spellEnd"/>
        <w:r w:rsidRPr="004F4BBB">
          <w:rPr>
            <w:rStyle w:val="Collegamentoipertestuale"/>
            <w:rFonts w:ascii="Georgia" w:hAnsi="Georgia"/>
            <w:i/>
          </w:rPr>
          <w:t xml:space="preserve"> de </w:t>
        </w:r>
        <w:proofErr w:type="spellStart"/>
        <w:r w:rsidRPr="004F4BBB">
          <w:rPr>
            <w:rStyle w:val="Collegamentoipertestuale"/>
            <w:rFonts w:ascii="Georgia" w:hAnsi="Georgia"/>
            <w:i/>
          </w:rPr>
          <w:t>vehículos</w:t>
        </w:r>
        <w:proofErr w:type="spellEnd"/>
        <w:r w:rsidRPr="004F4BBB">
          <w:rPr>
            <w:rStyle w:val="Collegamentoipertestuale"/>
            <w:rFonts w:ascii="Georgia" w:hAnsi="Georgia"/>
            <w:i/>
          </w:rPr>
          <w:t xml:space="preserve"> </w:t>
        </w:r>
        <w:proofErr w:type="spellStart"/>
        <w:r w:rsidRPr="004F4BBB">
          <w:rPr>
            <w:rStyle w:val="Collegamentoipertestuale"/>
            <w:rFonts w:ascii="Georgia" w:hAnsi="Georgia"/>
            <w:i/>
          </w:rPr>
          <w:t>eléctricos</w:t>
        </w:r>
        <w:proofErr w:type="spellEnd"/>
        <w:r w:rsidRPr="004F4BBB">
          <w:rPr>
            <w:rStyle w:val="Collegamentoipertestuale"/>
            <w:rFonts w:ascii="Georgia" w:hAnsi="Georgia"/>
            <w:i/>
          </w:rPr>
          <w:t xml:space="preserve"> en 2016, MOVEA</w:t>
        </w:r>
      </w:hyperlink>
      <w:r w:rsidR="002F56DF">
        <w:rPr>
          <w:rFonts w:ascii="Georgia" w:hAnsi="Georgia"/>
        </w:rPr>
        <w:t xml:space="preserve"> ha </w:t>
      </w:r>
      <w:r w:rsidRPr="005E2B73">
        <w:rPr>
          <w:rFonts w:ascii="Georgia" w:hAnsi="Georgia"/>
        </w:rPr>
        <w:t xml:space="preserve">previsto un procedimento per la concessione diretta di </w:t>
      </w:r>
      <w:r w:rsidRPr="005E2B73">
        <w:rPr>
          <w:rFonts w:ascii="Georgia" w:hAnsi="Georgia"/>
          <w:b/>
        </w:rPr>
        <w:t>aiuti per il Piano di sostegno alla mobilità con veicoli di energia alternativa</w:t>
      </w:r>
      <w:r w:rsidRPr="005E2B73">
        <w:rPr>
          <w:rFonts w:ascii="Georgia" w:hAnsi="Georgia"/>
        </w:rPr>
        <w:t xml:space="preserve"> (MOVEA), consistente nell’incentivare l’acquisto di veicoli con energia alternativa ai combustibili tradizionali e la concessione di aiuti per l’</w:t>
      </w:r>
      <w:r w:rsidRPr="004F4BBB">
        <w:rPr>
          <w:rFonts w:ascii="Georgia" w:hAnsi="Georgia"/>
          <w:b/>
        </w:rPr>
        <w:t>installazione di punti di ricarica</w:t>
      </w:r>
      <w:r w:rsidRPr="005E2B73">
        <w:rPr>
          <w:rFonts w:ascii="Georgia" w:hAnsi="Georgia"/>
        </w:rPr>
        <w:t xml:space="preserve"> per veicoli elettrici in zone ad accesso pubblico, incrementando la sostenibilità del settore dei trasporti, la diminuzione delle emissioni di anidride carbonica e altre sostanze nocive, il contrasto del cambiamento climatico e il miglioramento della qualità dell’aria, nonché la diversificazione delle fonti energetiche per il trasporto e la riduzione della dipendenza energetica dal petrolio. Gli aiuti sono destinati all’acquisto diretto o mediante operazione di finanziamento in </w:t>
      </w:r>
      <w:r w:rsidRPr="005E2B73">
        <w:rPr>
          <w:rFonts w:ascii="Georgia" w:hAnsi="Georgia"/>
          <w:i/>
        </w:rPr>
        <w:t>leasing</w:t>
      </w:r>
      <w:r w:rsidRPr="005E2B73">
        <w:rPr>
          <w:rFonts w:ascii="Georgia" w:hAnsi="Georgia"/>
        </w:rPr>
        <w:t xml:space="preserve"> o noleggio di un veicolo nuovo, nonché all’acquisto di veicoli elettrici con un’anzianità massima di sei mesi. Gli aiuti sono altresì destinati all’installazione di punti di ricarica per veicoli elettrici in zone ad accesso pubblico. Il finanziamento previsto è pari a un importo totale di </w:t>
      </w:r>
      <w:r w:rsidRPr="005E2B73">
        <w:rPr>
          <w:rFonts w:ascii="Georgia" w:hAnsi="Georgia"/>
          <w:b/>
        </w:rPr>
        <w:t>16.600.000 euro</w:t>
      </w:r>
      <w:r w:rsidRPr="005E2B73">
        <w:rPr>
          <w:rFonts w:ascii="Georgia" w:hAnsi="Georgia"/>
        </w:rPr>
        <w:t xml:space="preserve">. </w:t>
      </w:r>
    </w:p>
    <w:p w:rsidR="00015AE1" w:rsidRDefault="00015AE1" w:rsidP="00015AE1">
      <w:pPr>
        <w:ind w:firstLine="357"/>
        <w:jc w:val="both"/>
        <w:rPr>
          <w:rFonts w:ascii="Georgia" w:hAnsi="Georgia"/>
        </w:rPr>
      </w:pPr>
      <w:r w:rsidRPr="005A4A21">
        <w:rPr>
          <w:rFonts w:ascii="Georgia" w:hAnsi="Georgia"/>
        </w:rPr>
        <w:t xml:space="preserve">Il </w:t>
      </w:r>
      <w:hyperlink r:id="rId47" w:history="1">
        <w:r w:rsidRPr="005A4A21">
          <w:rPr>
            <w:rStyle w:val="Collegamentoipertestuale"/>
            <w:rFonts w:ascii="Georgia" w:hAnsi="Georgia"/>
            <w:i/>
          </w:rPr>
          <w:t>Real Decreto 617/2017</w:t>
        </w:r>
      </w:hyperlink>
      <w:r w:rsidRPr="005A4A21">
        <w:rPr>
          <w:rFonts w:ascii="Georgia" w:hAnsi="Georgia"/>
          <w:i/>
        </w:rPr>
        <w:t xml:space="preserve">, de 16 de </w:t>
      </w:r>
      <w:proofErr w:type="spellStart"/>
      <w:r w:rsidRPr="005A4A21">
        <w:rPr>
          <w:rFonts w:ascii="Georgia" w:hAnsi="Georgia"/>
          <w:i/>
        </w:rPr>
        <w:t>junio</w:t>
      </w:r>
      <w:proofErr w:type="spellEnd"/>
      <w:r w:rsidRPr="005A4A21">
        <w:rPr>
          <w:rFonts w:ascii="Georgia" w:hAnsi="Georgia"/>
          <w:i/>
        </w:rPr>
        <w:t xml:space="preserve">, por </w:t>
      </w:r>
      <w:proofErr w:type="spellStart"/>
      <w:r w:rsidRPr="005A4A21">
        <w:rPr>
          <w:rFonts w:ascii="Georgia" w:hAnsi="Georgia"/>
          <w:i/>
        </w:rPr>
        <w:t>el</w:t>
      </w:r>
      <w:proofErr w:type="spellEnd"/>
      <w:r w:rsidRPr="005A4A21">
        <w:rPr>
          <w:rFonts w:ascii="Georgia" w:hAnsi="Georgia"/>
          <w:i/>
        </w:rPr>
        <w:t xml:space="preserve"> </w:t>
      </w:r>
      <w:proofErr w:type="spellStart"/>
      <w:r w:rsidRPr="005A4A21">
        <w:rPr>
          <w:rFonts w:ascii="Georgia" w:hAnsi="Georgia"/>
          <w:i/>
        </w:rPr>
        <w:t>que</w:t>
      </w:r>
      <w:proofErr w:type="spellEnd"/>
      <w:r w:rsidRPr="005A4A21">
        <w:rPr>
          <w:rFonts w:ascii="Georgia" w:hAnsi="Georgia"/>
          <w:i/>
        </w:rPr>
        <w:t xml:space="preserve"> se </w:t>
      </w:r>
      <w:proofErr w:type="spellStart"/>
      <w:r w:rsidRPr="005A4A21">
        <w:rPr>
          <w:rFonts w:ascii="Georgia" w:hAnsi="Georgia"/>
          <w:i/>
        </w:rPr>
        <w:t>regula</w:t>
      </w:r>
      <w:proofErr w:type="spellEnd"/>
      <w:r w:rsidRPr="005A4A21">
        <w:rPr>
          <w:rFonts w:ascii="Georgia" w:hAnsi="Georgia"/>
          <w:i/>
        </w:rPr>
        <w:t xml:space="preserve"> la </w:t>
      </w:r>
      <w:proofErr w:type="spellStart"/>
      <w:r w:rsidRPr="005A4A21">
        <w:rPr>
          <w:rFonts w:ascii="Georgia" w:hAnsi="Georgia"/>
          <w:i/>
        </w:rPr>
        <w:t>concesión</w:t>
      </w:r>
      <w:proofErr w:type="spellEnd"/>
      <w:r w:rsidRPr="005A4A21">
        <w:rPr>
          <w:rFonts w:ascii="Georgia" w:hAnsi="Georgia"/>
          <w:i/>
        </w:rPr>
        <w:t xml:space="preserve"> </w:t>
      </w:r>
      <w:proofErr w:type="spellStart"/>
      <w:r w:rsidRPr="005A4A21">
        <w:rPr>
          <w:rFonts w:ascii="Georgia" w:hAnsi="Georgia"/>
          <w:i/>
        </w:rPr>
        <w:t>directa</w:t>
      </w:r>
      <w:proofErr w:type="spellEnd"/>
      <w:r w:rsidRPr="005A4A21">
        <w:rPr>
          <w:rFonts w:ascii="Georgia" w:hAnsi="Georgia"/>
          <w:i/>
        </w:rPr>
        <w:t xml:space="preserve"> de </w:t>
      </w:r>
      <w:proofErr w:type="spellStart"/>
      <w:r w:rsidRPr="005A4A21">
        <w:rPr>
          <w:rFonts w:ascii="Georgia" w:hAnsi="Georgia"/>
          <w:i/>
        </w:rPr>
        <w:t>ayudas</w:t>
      </w:r>
      <w:proofErr w:type="spellEnd"/>
      <w:r w:rsidRPr="005A4A21">
        <w:rPr>
          <w:rFonts w:ascii="Georgia" w:hAnsi="Georgia"/>
          <w:i/>
        </w:rPr>
        <w:t xml:space="preserve"> para la </w:t>
      </w:r>
      <w:proofErr w:type="spellStart"/>
      <w:r w:rsidRPr="005A4A21">
        <w:rPr>
          <w:rFonts w:ascii="Georgia" w:hAnsi="Georgia"/>
          <w:i/>
        </w:rPr>
        <w:t>adquisición</w:t>
      </w:r>
      <w:proofErr w:type="spellEnd"/>
      <w:r w:rsidRPr="005A4A21">
        <w:rPr>
          <w:rFonts w:ascii="Georgia" w:hAnsi="Georgia"/>
          <w:i/>
        </w:rPr>
        <w:t xml:space="preserve"> de </w:t>
      </w:r>
      <w:proofErr w:type="spellStart"/>
      <w:r w:rsidRPr="005A4A21">
        <w:rPr>
          <w:rFonts w:ascii="Georgia" w:hAnsi="Georgia"/>
          <w:i/>
        </w:rPr>
        <w:t>vehículos</w:t>
      </w:r>
      <w:proofErr w:type="spellEnd"/>
      <w:r w:rsidRPr="005A4A21">
        <w:rPr>
          <w:rFonts w:ascii="Georgia" w:hAnsi="Georgia"/>
          <w:i/>
        </w:rPr>
        <w:t xml:space="preserve"> de </w:t>
      </w:r>
      <w:proofErr w:type="spellStart"/>
      <w:r w:rsidRPr="005A4A21">
        <w:rPr>
          <w:rFonts w:ascii="Georgia" w:hAnsi="Georgia"/>
          <w:i/>
        </w:rPr>
        <w:t>energías</w:t>
      </w:r>
      <w:proofErr w:type="spellEnd"/>
      <w:r w:rsidRPr="005A4A21">
        <w:rPr>
          <w:rFonts w:ascii="Georgia" w:hAnsi="Georgia"/>
          <w:i/>
        </w:rPr>
        <w:t xml:space="preserve"> </w:t>
      </w:r>
      <w:proofErr w:type="spellStart"/>
      <w:r w:rsidRPr="005A4A21">
        <w:rPr>
          <w:rFonts w:ascii="Georgia" w:hAnsi="Georgia"/>
          <w:i/>
        </w:rPr>
        <w:t>alternativas</w:t>
      </w:r>
      <w:proofErr w:type="spellEnd"/>
      <w:r w:rsidRPr="005A4A21">
        <w:rPr>
          <w:rFonts w:ascii="Georgia" w:hAnsi="Georgia"/>
          <w:i/>
        </w:rPr>
        <w:t xml:space="preserve">, y para la </w:t>
      </w:r>
      <w:proofErr w:type="spellStart"/>
      <w:r w:rsidRPr="005A4A21">
        <w:rPr>
          <w:rFonts w:ascii="Georgia" w:hAnsi="Georgia"/>
          <w:i/>
        </w:rPr>
        <w:t>implantación</w:t>
      </w:r>
      <w:proofErr w:type="spellEnd"/>
      <w:r w:rsidRPr="005A4A21">
        <w:rPr>
          <w:rFonts w:ascii="Georgia" w:hAnsi="Georgia"/>
          <w:i/>
        </w:rPr>
        <w:t xml:space="preserve"> de </w:t>
      </w:r>
      <w:proofErr w:type="spellStart"/>
      <w:r w:rsidRPr="005A4A21">
        <w:rPr>
          <w:rFonts w:ascii="Georgia" w:hAnsi="Georgia"/>
          <w:i/>
        </w:rPr>
        <w:t>puntos</w:t>
      </w:r>
      <w:proofErr w:type="spellEnd"/>
      <w:r w:rsidRPr="005A4A21">
        <w:rPr>
          <w:rFonts w:ascii="Georgia" w:hAnsi="Georgia"/>
          <w:i/>
        </w:rPr>
        <w:t xml:space="preserve"> de </w:t>
      </w:r>
      <w:proofErr w:type="spellStart"/>
      <w:r w:rsidRPr="005A4A21">
        <w:rPr>
          <w:rFonts w:ascii="Georgia" w:hAnsi="Georgia"/>
          <w:i/>
        </w:rPr>
        <w:t>recarga</w:t>
      </w:r>
      <w:proofErr w:type="spellEnd"/>
      <w:r w:rsidRPr="005A4A21">
        <w:rPr>
          <w:rFonts w:ascii="Georgia" w:hAnsi="Georgia"/>
          <w:i/>
        </w:rPr>
        <w:t xml:space="preserve"> de </w:t>
      </w:r>
      <w:proofErr w:type="spellStart"/>
      <w:r w:rsidRPr="005A4A21">
        <w:rPr>
          <w:rFonts w:ascii="Georgia" w:hAnsi="Georgia"/>
          <w:i/>
        </w:rPr>
        <w:t>vehículos</w:t>
      </w:r>
      <w:proofErr w:type="spellEnd"/>
      <w:r w:rsidRPr="005A4A21">
        <w:rPr>
          <w:rFonts w:ascii="Georgia" w:hAnsi="Georgia"/>
          <w:i/>
        </w:rPr>
        <w:t xml:space="preserve"> </w:t>
      </w:r>
      <w:proofErr w:type="spellStart"/>
      <w:r w:rsidRPr="005A4A21">
        <w:rPr>
          <w:rFonts w:ascii="Georgia" w:hAnsi="Georgia"/>
          <w:i/>
        </w:rPr>
        <w:t>eléctricos</w:t>
      </w:r>
      <w:proofErr w:type="spellEnd"/>
      <w:r w:rsidRPr="005A4A21">
        <w:rPr>
          <w:rFonts w:ascii="Georgia" w:hAnsi="Georgia"/>
          <w:i/>
        </w:rPr>
        <w:t xml:space="preserve"> en 2017 (Plan MOVEA 2017)</w:t>
      </w:r>
      <w:r w:rsidRPr="005A4A21">
        <w:rPr>
          <w:rFonts w:ascii="Georgia" w:hAnsi="Georgia"/>
        </w:rPr>
        <w:t xml:space="preserve"> ha rinnovato o modificato alcuni criteri già inclusi nel Piano MOVEA 2016. Esso regola le basi per la concessione diretta di </w:t>
      </w:r>
      <w:r w:rsidRPr="005A4A21">
        <w:rPr>
          <w:rFonts w:ascii="Georgia" w:hAnsi="Georgia"/>
          <w:b/>
        </w:rPr>
        <w:t>aiuti per l’acquisto</w:t>
      </w:r>
      <w:r w:rsidRPr="005A4A21">
        <w:rPr>
          <w:rFonts w:ascii="Georgia" w:hAnsi="Georgia"/>
        </w:rPr>
        <w:t xml:space="preserve"> di veicoli elettrici, a gas di petrolio liquefatto (GPL/gasolio), gas naturale compresso (GNC) e gas naturale liquefatto, veicoli con celle a combustibile e motoci</w:t>
      </w:r>
      <w:r>
        <w:rPr>
          <w:rFonts w:ascii="Georgia" w:hAnsi="Georgia"/>
        </w:rPr>
        <w:t xml:space="preserve">cli elettrici, promuovendo </w:t>
      </w:r>
      <w:r w:rsidRPr="005A4A21">
        <w:rPr>
          <w:rFonts w:ascii="Georgia" w:hAnsi="Georgia"/>
        </w:rPr>
        <w:t>la sostenibilità nel settore dei trasporti, la riduzione delle emissioni inquinanti e il miglioramento della qualità dell'aria, nonché la diversificazione delle fo</w:t>
      </w:r>
      <w:r>
        <w:rPr>
          <w:rFonts w:ascii="Georgia" w:hAnsi="Georgia"/>
        </w:rPr>
        <w:t>nti di energia nei trasporti</w:t>
      </w:r>
      <w:r w:rsidRPr="005A4A21">
        <w:rPr>
          <w:rFonts w:ascii="Georgia" w:hAnsi="Georgia"/>
        </w:rPr>
        <w:t>. Allo stesso modo, prevede anch</w:t>
      </w:r>
      <w:r>
        <w:rPr>
          <w:rFonts w:ascii="Georgia" w:hAnsi="Georgia"/>
        </w:rPr>
        <w:t>e la concessione di aiuti per la diffusione</w:t>
      </w:r>
      <w:r w:rsidRPr="005A4A21">
        <w:rPr>
          <w:rFonts w:ascii="Georgia" w:hAnsi="Georgia"/>
        </w:rPr>
        <w:t xml:space="preserve"> di </w:t>
      </w:r>
      <w:r w:rsidRPr="005A4A21">
        <w:rPr>
          <w:rFonts w:ascii="Georgia" w:hAnsi="Georgia"/>
          <w:b/>
        </w:rPr>
        <w:t>punti di ricarica</w:t>
      </w:r>
      <w:r w:rsidRPr="005A4A21">
        <w:rPr>
          <w:rFonts w:ascii="Georgia" w:hAnsi="Georgia"/>
        </w:rPr>
        <w:t xml:space="preserve"> per veicoli elettrici in aree di accesso pubblico. Le amministrazioni pubbliche, nell’ambito delle loro competenze, possono facilitare e promuovere l’implementazione e lo sviluppo delle infrastrutture di ricarica e fornitura </w:t>
      </w:r>
      <w:r w:rsidRPr="005A4A21">
        <w:rPr>
          <w:rFonts w:ascii="Georgia" w:hAnsi="Georgia"/>
        </w:rPr>
        <w:lastRenderedPageBreak/>
        <w:t xml:space="preserve">elettrica facilitando la loro installazione attraverso aiuti finanziari. Il finanziamento previsto è pari a un importo totale di </w:t>
      </w:r>
      <w:r w:rsidRPr="005A4A21">
        <w:rPr>
          <w:rFonts w:ascii="Georgia" w:hAnsi="Georgia"/>
          <w:b/>
        </w:rPr>
        <w:t>14.260.000 euro</w:t>
      </w:r>
      <w:r w:rsidRPr="005A4A21">
        <w:rPr>
          <w:rFonts w:ascii="Georgia" w:hAnsi="Georgia"/>
        </w:rPr>
        <w:t>.</w:t>
      </w:r>
    </w:p>
    <w:p w:rsidR="00F736C2" w:rsidRPr="005E2B73" w:rsidRDefault="00F736C2" w:rsidP="00F736C2">
      <w:pPr>
        <w:spacing w:after="120"/>
        <w:ind w:firstLine="357"/>
        <w:jc w:val="both"/>
        <w:rPr>
          <w:rFonts w:ascii="Georgia" w:hAnsi="Georgia"/>
        </w:rPr>
      </w:pPr>
    </w:p>
    <w:p w:rsidR="00A411C9" w:rsidRPr="005E2B73" w:rsidRDefault="00A411C9" w:rsidP="00A411C9">
      <w:pPr>
        <w:pStyle w:val="NormaleWeb"/>
        <w:spacing w:before="0" w:beforeAutospacing="0" w:after="120" w:afterAutospacing="0"/>
        <w:ind w:firstLine="357"/>
        <w:rPr>
          <w:rFonts w:ascii="Georgia" w:hAnsi="Georgia"/>
          <w:bCs/>
          <w:sz w:val="24"/>
          <w:szCs w:val="24"/>
        </w:rPr>
      </w:pPr>
    </w:p>
    <w:p w:rsidR="00A411C9" w:rsidRPr="005E2B73" w:rsidRDefault="00A411C9" w:rsidP="00A411C9">
      <w:pPr>
        <w:pStyle w:val="NormaleWeb"/>
        <w:spacing w:before="0" w:beforeAutospacing="0" w:after="120" w:afterAutospacing="0"/>
        <w:ind w:firstLine="357"/>
        <w:rPr>
          <w:rFonts w:ascii="Georgia" w:hAnsi="Georgia"/>
          <w:bCs/>
          <w:sz w:val="24"/>
          <w:szCs w:val="24"/>
        </w:rPr>
      </w:pPr>
    </w:p>
    <w:p w:rsidR="00B373C9" w:rsidRPr="005E2B73" w:rsidRDefault="00B373C9" w:rsidP="009478ED">
      <w:pPr>
        <w:pStyle w:val="NormaleWeb"/>
        <w:spacing w:before="0" w:beforeAutospacing="0" w:after="120" w:afterAutospacing="0"/>
        <w:ind w:firstLine="357"/>
        <w:rPr>
          <w:rFonts w:ascii="Georgia" w:hAnsi="Georgia"/>
          <w:bCs/>
          <w:sz w:val="24"/>
          <w:szCs w:val="24"/>
        </w:rPr>
      </w:pPr>
    </w:p>
    <w:p w:rsidR="00B373C9" w:rsidRPr="000A0A15" w:rsidRDefault="00B373C9" w:rsidP="009478ED">
      <w:pPr>
        <w:pStyle w:val="NormaleWeb"/>
        <w:spacing w:before="0" w:beforeAutospacing="0" w:after="120" w:afterAutospacing="0"/>
        <w:ind w:firstLine="357"/>
        <w:rPr>
          <w:rFonts w:ascii="Georgia" w:hAnsi="Georgia"/>
          <w:bCs/>
          <w:sz w:val="24"/>
          <w:szCs w:val="24"/>
        </w:rPr>
      </w:pPr>
    </w:p>
    <w:p w:rsidR="00C174B2" w:rsidRPr="000A0A15" w:rsidRDefault="00C174B2" w:rsidP="00C174B2">
      <w:pPr>
        <w:pStyle w:val="Normale1"/>
        <w:pBdr>
          <w:top w:val="single" w:sz="6" w:space="2" w:color="008000"/>
          <w:left w:val="single" w:sz="6" w:space="3" w:color="008000"/>
          <w:bottom w:val="single" w:sz="6" w:space="2" w:color="008000"/>
          <w:right w:val="single" w:sz="6" w:space="2" w:color="008000"/>
        </w:pBdr>
        <w:tabs>
          <w:tab w:val="left" w:pos="4464"/>
        </w:tabs>
        <w:ind w:firstLine="0"/>
        <w:rPr>
          <w:rFonts w:ascii="Georgia" w:hAnsi="Georgia"/>
          <w:b/>
          <w:noProof/>
          <w:color w:val="339966"/>
          <w:szCs w:val="24"/>
        </w:rPr>
      </w:pPr>
      <w:r w:rsidRPr="000A0A15">
        <w:rPr>
          <w:rFonts w:ascii="Georgia" w:hAnsi="Georgia"/>
          <w:b/>
          <w:smallCaps/>
          <w:noProof/>
          <w:color w:val="339966"/>
          <w:szCs w:val="24"/>
        </w:rPr>
        <w:t xml:space="preserve">SERVIZIO BIBLIOTECA - </w:t>
      </w:r>
      <w:r w:rsidRPr="000A0A15">
        <w:rPr>
          <w:rFonts w:ascii="Georgia" w:hAnsi="Georgia"/>
          <w:b/>
          <w:noProof/>
          <w:color w:val="339966"/>
          <w:szCs w:val="24"/>
        </w:rPr>
        <w:t>Ufficio Legislazione Straniera</w:t>
      </w:r>
      <w:r w:rsidRPr="000A0A15">
        <w:rPr>
          <w:rFonts w:ascii="Georgia" w:hAnsi="Georgia"/>
          <w:b/>
          <w:i/>
          <w:smallCaps/>
          <w:noProof/>
          <w:color w:val="339966"/>
          <w:szCs w:val="24"/>
        </w:rPr>
        <w:t xml:space="preserve"> </w:t>
      </w:r>
    </w:p>
    <w:p w:rsidR="00C174B2" w:rsidRPr="000A0A15" w:rsidRDefault="00C174B2" w:rsidP="00C174B2">
      <w:pPr>
        <w:pStyle w:val="Normale1"/>
        <w:pBdr>
          <w:top w:val="single" w:sz="6" w:space="2" w:color="008000"/>
          <w:left w:val="single" w:sz="6" w:space="3" w:color="008000"/>
          <w:bottom w:val="single" w:sz="6" w:space="2" w:color="008000"/>
          <w:right w:val="single" w:sz="6" w:space="2" w:color="008000"/>
        </w:pBdr>
        <w:tabs>
          <w:tab w:val="left" w:pos="4464"/>
        </w:tabs>
        <w:ind w:firstLine="0"/>
        <w:rPr>
          <w:rFonts w:ascii="Georgia" w:hAnsi="Georgia"/>
          <w:b/>
          <w:i/>
          <w:noProof/>
          <w:color w:val="339966"/>
          <w:szCs w:val="24"/>
        </w:rPr>
      </w:pPr>
      <w:r w:rsidRPr="000A0A15">
        <w:rPr>
          <w:rFonts w:ascii="Georgia" w:hAnsi="Georgia"/>
          <w:b/>
          <w:i/>
          <w:noProof/>
          <w:color w:val="339966"/>
          <w:szCs w:val="24"/>
        </w:rPr>
        <w:t>tel. 06/6760. 2278 – 3242 ; mail: LS_segreteria@camera.it</w:t>
      </w:r>
    </w:p>
    <w:sectPr w:rsidR="00C174B2" w:rsidRPr="000A0A15" w:rsidSect="00F84D1F">
      <w:footerReference w:type="even" r:id="rId48"/>
      <w:footerReference w:type="default" r:id="rId49"/>
      <w:pgSz w:w="11906" w:h="16838"/>
      <w:pgMar w:top="143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11" w:rsidRDefault="00DC0611">
      <w:r>
        <w:separator/>
      </w:r>
    </w:p>
  </w:endnote>
  <w:endnote w:type="continuationSeparator" w:id="0">
    <w:p w:rsidR="00DC0611" w:rsidRDefault="00DC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lanti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F3" w:rsidRDefault="000222F3" w:rsidP="00F84D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222F3" w:rsidRDefault="000222F3" w:rsidP="00F84D1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F3" w:rsidRDefault="000222F3" w:rsidP="00F84D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85B72">
      <w:rPr>
        <w:rStyle w:val="Numeropagina"/>
        <w:noProof/>
      </w:rPr>
      <w:t>1</w:t>
    </w:r>
    <w:r>
      <w:rPr>
        <w:rStyle w:val="Numeropagina"/>
      </w:rPr>
      <w:fldChar w:fldCharType="end"/>
    </w:r>
  </w:p>
  <w:p w:rsidR="000222F3" w:rsidRDefault="000222F3" w:rsidP="00F84D1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11" w:rsidRDefault="00DC0611">
      <w:r>
        <w:separator/>
      </w:r>
    </w:p>
  </w:footnote>
  <w:footnote w:type="continuationSeparator" w:id="0">
    <w:p w:rsidR="00DC0611" w:rsidRDefault="00DC0611">
      <w:r>
        <w:continuationSeparator/>
      </w:r>
    </w:p>
  </w:footnote>
  <w:footnote w:id="1">
    <w:p w:rsidR="000222F3" w:rsidRPr="00337E3A" w:rsidRDefault="000222F3" w:rsidP="00337E3A">
      <w:pPr>
        <w:pStyle w:val="Testonotaapidipagina"/>
        <w:jc w:val="both"/>
        <w:rPr>
          <w:rFonts w:ascii="Georgia" w:hAnsi="Georgia"/>
        </w:rPr>
      </w:pPr>
      <w:r w:rsidRPr="00337E3A">
        <w:rPr>
          <w:rStyle w:val="Rimandonotaapidipagina"/>
          <w:rFonts w:ascii="Georgia" w:hAnsi="Georgia"/>
        </w:rPr>
        <w:footnoteRef/>
      </w:r>
      <w:r w:rsidRPr="00337E3A">
        <w:rPr>
          <w:rFonts w:ascii="Georgia" w:hAnsi="Georgia"/>
        </w:rPr>
        <w:t xml:space="preserve"> Articolo “</w:t>
      </w:r>
      <w:proofErr w:type="spellStart"/>
      <w:r w:rsidRPr="00337E3A">
        <w:fldChar w:fldCharType="begin"/>
      </w:r>
      <w:r w:rsidRPr="00337E3A">
        <w:rPr>
          <w:rFonts w:ascii="Georgia" w:hAnsi="Georgia"/>
        </w:rPr>
        <w:instrText xml:space="preserve"> HYPERLINK "http://www.avere-france.org/Site/Article/?article_id=6241" </w:instrText>
      </w:r>
      <w:r w:rsidRPr="00337E3A">
        <w:fldChar w:fldCharType="separate"/>
      </w:r>
      <w:r w:rsidRPr="00337E3A">
        <w:rPr>
          <w:rStyle w:val="Collegamentoipertestuale"/>
          <w:rFonts w:ascii="Georgia" w:hAnsi="Georgia"/>
          <w:i/>
        </w:rPr>
        <w:t>Loi</w:t>
      </w:r>
      <w:proofErr w:type="spellEnd"/>
      <w:r w:rsidRPr="00337E3A">
        <w:rPr>
          <w:rStyle w:val="Collegamentoipertestuale"/>
          <w:rFonts w:ascii="Georgia" w:hAnsi="Georgia"/>
          <w:i/>
        </w:rPr>
        <w:t xml:space="preserve"> </w:t>
      </w:r>
      <w:proofErr w:type="spellStart"/>
      <w:r w:rsidRPr="00337E3A">
        <w:rPr>
          <w:rStyle w:val="Collegamentoipertestuale"/>
          <w:rFonts w:ascii="Georgia" w:hAnsi="Georgia"/>
          <w:i/>
        </w:rPr>
        <w:t>sur</w:t>
      </w:r>
      <w:proofErr w:type="spellEnd"/>
      <w:r w:rsidRPr="00337E3A">
        <w:rPr>
          <w:rStyle w:val="Collegamentoipertestuale"/>
          <w:rFonts w:ascii="Georgia" w:hAnsi="Georgia"/>
          <w:i/>
        </w:rPr>
        <w:t xml:space="preserve"> la </w:t>
      </w:r>
      <w:proofErr w:type="spellStart"/>
      <w:r w:rsidRPr="00337E3A">
        <w:rPr>
          <w:rStyle w:val="Collegamentoipertestuale"/>
          <w:rFonts w:ascii="Georgia" w:hAnsi="Georgia"/>
          <w:i/>
        </w:rPr>
        <w:t>transition</w:t>
      </w:r>
      <w:proofErr w:type="spellEnd"/>
      <w:r w:rsidRPr="00337E3A">
        <w:rPr>
          <w:rStyle w:val="Collegamentoipertestuale"/>
          <w:rFonts w:ascii="Georgia" w:hAnsi="Georgia"/>
          <w:i/>
        </w:rPr>
        <w:t xml:space="preserve"> </w:t>
      </w:r>
      <w:proofErr w:type="spellStart"/>
      <w:r w:rsidRPr="00337E3A">
        <w:rPr>
          <w:rStyle w:val="Collegamentoipertestuale"/>
          <w:rFonts w:ascii="Georgia" w:hAnsi="Georgia"/>
          <w:i/>
        </w:rPr>
        <w:t>énergétique</w:t>
      </w:r>
      <w:proofErr w:type="spellEnd"/>
      <w:r w:rsidRPr="00337E3A">
        <w:rPr>
          <w:rStyle w:val="Collegamentoipertestuale"/>
          <w:rFonts w:ascii="Georgia" w:hAnsi="Georgia"/>
          <w:i/>
        </w:rPr>
        <w:t xml:space="preserve"> : ce qui va </w:t>
      </w:r>
      <w:proofErr w:type="spellStart"/>
      <w:r w:rsidRPr="00337E3A">
        <w:rPr>
          <w:rStyle w:val="Collegamentoipertestuale"/>
          <w:rFonts w:ascii="Georgia" w:hAnsi="Georgia"/>
          <w:i/>
        </w:rPr>
        <w:t>changer</w:t>
      </w:r>
      <w:proofErr w:type="spellEnd"/>
      <w:r w:rsidRPr="00337E3A">
        <w:rPr>
          <w:rStyle w:val="Collegamentoipertestuale"/>
          <w:rFonts w:ascii="Georgia" w:hAnsi="Georgia"/>
          <w:i/>
        </w:rPr>
        <w:t xml:space="preserve"> pour la </w:t>
      </w:r>
      <w:proofErr w:type="spellStart"/>
      <w:r w:rsidRPr="00337E3A">
        <w:rPr>
          <w:rStyle w:val="Collegamentoipertestuale"/>
          <w:rFonts w:ascii="Georgia" w:hAnsi="Georgia"/>
          <w:i/>
        </w:rPr>
        <w:t>mobilité</w:t>
      </w:r>
      <w:proofErr w:type="spellEnd"/>
      <w:r w:rsidRPr="00337E3A">
        <w:rPr>
          <w:rStyle w:val="Collegamentoipertestuale"/>
          <w:rFonts w:ascii="Georgia" w:hAnsi="Georgia"/>
          <w:i/>
        </w:rPr>
        <w:t xml:space="preserve"> </w:t>
      </w:r>
      <w:proofErr w:type="spellStart"/>
      <w:r w:rsidRPr="00337E3A">
        <w:rPr>
          <w:rStyle w:val="Collegamentoipertestuale"/>
          <w:rFonts w:ascii="Georgia" w:hAnsi="Georgia"/>
          <w:i/>
        </w:rPr>
        <w:t>électrique</w:t>
      </w:r>
      <w:proofErr w:type="spellEnd"/>
      <w:r w:rsidRPr="00337E3A">
        <w:rPr>
          <w:rStyle w:val="Collegamentoipertestuale"/>
          <w:rFonts w:ascii="Georgia" w:hAnsi="Georgia"/>
          <w:i/>
        </w:rPr>
        <w:fldChar w:fldCharType="end"/>
      </w:r>
      <w:r w:rsidRPr="00337E3A">
        <w:rPr>
          <w:rFonts w:ascii="Georgia" w:hAnsi="Georgia"/>
        </w:rPr>
        <w:t>”, 31 agosto 2015.</w:t>
      </w:r>
    </w:p>
  </w:footnote>
  <w:footnote w:id="2">
    <w:p w:rsidR="000222F3" w:rsidRPr="00337E3A" w:rsidRDefault="000222F3" w:rsidP="00337E3A">
      <w:pPr>
        <w:pStyle w:val="Testonotaapidipagina"/>
        <w:jc w:val="both"/>
        <w:rPr>
          <w:rFonts w:ascii="Georgia" w:hAnsi="Georgia"/>
        </w:rPr>
      </w:pPr>
      <w:r w:rsidRPr="00337E3A">
        <w:rPr>
          <w:rStyle w:val="Rimandonotaapidipagina"/>
          <w:rFonts w:ascii="Georgia" w:hAnsi="Georgia"/>
        </w:rPr>
        <w:footnoteRef/>
      </w:r>
      <w:r w:rsidRPr="00337E3A">
        <w:rPr>
          <w:rFonts w:ascii="Georgia" w:hAnsi="Georgia"/>
        </w:rPr>
        <w:t xml:space="preserve"> Per un approfondimento si veda “</w:t>
      </w:r>
      <w:proofErr w:type="spellStart"/>
      <w:r w:rsidRPr="00337E3A">
        <w:fldChar w:fldCharType="begin"/>
      </w:r>
      <w:r w:rsidRPr="00337E3A">
        <w:rPr>
          <w:rFonts w:ascii="Georgia" w:hAnsi="Georgia"/>
        </w:rPr>
        <w:instrText xml:space="preserve"> HYPERLINK "http://www.clingendaelenergy.com/files.cfm?event=files.download&amp;ui=D6FF0404-5254-00CF-FD03978CE1C07F54" </w:instrText>
      </w:r>
      <w:r w:rsidRPr="00337E3A">
        <w:fldChar w:fldCharType="separate"/>
      </w:r>
      <w:r w:rsidRPr="00337E3A">
        <w:rPr>
          <w:rStyle w:val="Collegamentoipertestuale"/>
          <w:rFonts w:ascii="Georgia" w:hAnsi="Georgia"/>
          <w:i/>
        </w:rPr>
        <w:t>Energiewende</w:t>
      </w:r>
      <w:proofErr w:type="spellEnd"/>
      <w:r w:rsidRPr="00337E3A">
        <w:rPr>
          <w:rStyle w:val="Collegamentoipertestuale"/>
          <w:rFonts w:ascii="Georgia" w:hAnsi="Georgia"/>
        </w:rPr>
        <w:t>: politica energetica e politica industriale</w:t>
      </w:r>
      <w:r w:rsidRPr="00337E3A">
        <w:rPr>
          <w:rStyle w:val="Collegamentoipertestuale"/>
          <w:rFonts w:ascii="Georgia" w:hAnsi="Georgia"/>
        </w:rPr>
        <w:fldChar w:fldCharType="end"/>
      </w:r>
      <w:r w:rsidRPr="00337E3A">
        <w:rPr>
          <w:rFonts w:ascii="Georgia" w:hAnsi="Georgia"/>
        </w:rPr>
        <w:t xml:space="preserve">” di </w:t>
      </w:r>
      <w:proofErr w:type="spellStart"/>
      <w:r w:rsidRPr="00337E3A">
        <w:rPr>
          <w:rFonts w:ascii="Georgia" w:hAnsi="Georgia"/>
        </w:rPr>
        <w:t>Daan</w:t>
      </w:r>
      <w:proofErr w:type="spellEnd"/>
      <w:r w:rsidRPr="00337E3A">
        <w:rPr>
          <w:rFonts w:ascii="Georgia" w:hAnsi="Georgia"/>
        </w:rPr>
        <w:t xml:space="preserve"> </w:t>
      </w:r>
      <w:proofErr w:type="spellStart"/>
      <w:r w:rsidRPr="00337E3A">
        <w:rPr>
          <w:rFonts w:ascii="Georgia" w:hAnsi="Georgia"/>
        </w:rPr>
        <w:t>Rutten</w:t>
      </w:r>
      <w:proofErr w:type="spellEnd"/>
      <w:r w:rsidRPr="00337E3A">
        <w:rPr>
          <w:rFonts w:ascii="Georgia" w:hAnsi="Georgia"/>
        </w:rPr>
        <w:t xml:space="preserve">. </w:t>
      </w:r>
    </w:p>
  </w:footnote>
  <w:footnote w:id="3">
    <w:p w:rsidR="000222F3" w:rsidRPr="00337E3A" w:rsidRDefault="000222F3" w:rsidP="00453FAD">
      <w:pPr>
        <w:pStyle w:val="Testonotaapidipagina"/>
        <w:jc w:val="both"/>
        <w:rPr>
          <w:rFonts w:ascii="Georgia" w:hAnsi="Georgia"/>
        </w:rPr>
      </w:pPr>
      <w:r w:rsidRPr="00337E3A">
        <w:rPr>
          <w:rStyle w:val="Rimandonotaapidipagina"/>
          <w:rFonts w:ascii="Georgia" w:hAnsi="Georgia"/>
        </w:rPr>
        <w:footnoteRef/>
      </w:r>
      <w:r w:rsidRPr="00337E3A">
        <w:rPr>
          <w:rFonts w:ascii="Georgia" w:hAnsi="Georgia"/>
        </w:rPr>
        <w:t xml:space="preserve"> </w:t>
      </w:r>
      <w:r>
        <w:rPr>
          <w:rFonts w:ascii="Georgia" w:hAnsi="Georgia"/>
        </w:rPr>
        <w:t xml:space="preserve">Il testo vigente </w:t>
      </w:r>
      <w:r w:rsidR="00B438D2">
        <w:rPr>
          <w:rFonts w:ascii="Georgia" w:hAnsi="Georgia"/>
        </w:rPr>
        <w:t xml:space="preserve">della legge (nuova versione del 21 luglio 2014 e successive modifiche - EEG 2017) </w:t>
      </w:r>
      <w:r>
        <w:rPr>
          <w:rFonts w:ascii="Georgia" w:hAnsi="Georgia"/>
        </w:rPr>
        <w:t>è illustrato più avanti</w:t>
      </w:r>
      <w:r w:rsidRPr="00337E3A">
        <w:rPr>
          <w:rFonts w:ascii="Georgia" w:hAnsi="Georgia"/>
        </w:rPr>
        <w:t>.</w:t>
      </w:r>
    </w:p>
  </w:footnote>
  <w:footnote w:id="4">
    <w:p w:rsidR="00795657" w:rsidRPr="00795657" w:rsidRDefault="00795657" w:rsidP="00795657">
      <w:pPr>
        <w:pStyle w:val="Testonotaapidipagina"/>
        <w:jc w:val="both"/>
        <w:rPr>
          <w:rFonts w:ascii="Georgia" w:hAnsi="Georgia"/>
        </w:rPr>
      </w:pPr>
      <w:r w:rsidRPr="00795657">
        <w:rPr>
          <w:rStyle w:val="Rimandonotaapidipagina"/>
          <w:rFonts w:ascii="Georgia" w:hAnsi="Georgia"/>
        </w:rPr>
        <w:footnoteRef/>
      </w:r>
      <w:r w:rsidRPr="00795657">
        <w:rPr>
          <w:rFonts w:ascii="Georgia" w:hAnsi="Georgia"/>
        </w:rPr>
        <w:t xml:space="preserve"> L’indicazione del corrente anno 2017 indica semplicemente la versione consolidata ad oggi del testo normativo</w:t>
      </w:r>
      <w:r>
        <w:rPr>
          <w:rFonts w:ascii="Georgia" w:hAnsi="Georgia"/>
        </w:rPr>
        <w:t xml:space="preserve"> (modifica effettuata dall’art. 1</w:t>
      </w:r>
      <w:r w:rsidR="00F42DDB">
        <w:rPr>
          <w:rFonts w:ascii="Georgia" w:hAnsi="Georgia"/>
        </w:rPr>
        <w:t>, comma 1,</w:t>
      </w:r>
      <w:r>
        <w:rPr>
          <w:rFonts w:ascii="Georgia" w:hAnsi="Georgia"/>
        </w:rPr>
        <w:t xml:space="preserve"> della Legge del 13 ottobre 2016 illustrata più avanti)</w:t>
      </w:r>
      <w:r w:rsidRPr="00795657">
        <w:rPr>
          <w:rFonts w:ascii="Georgia" w:hAnsi="Georgia"/>
        </w:rPr>
        <w:t>.</w:t>
      </w:r>
    </w:p>
  </w:footnote>
  <w:footnote w:id="5">
    <w:p w:rsidR="000222F3" w:rsidRPr="00337E3A" w:rsidRDefault="000222F3" w:rsidP="00337E3A">
      <w:pPr>
        <w:pStyle w:val="Testonotaapidipagina"/>
        <w:jc w:val="both"/>
        <w:rPr>
          <w:rFonts w:ascii="Georgia" w:hAnsi="Georgia"/>
        </w:rPr>
      </w:pPr>
      <w:r w:rsidRPr="00337E3A">
        <w:rPr>
          <w:rStyle w:val="Rimandonotaapidipagina"/>
          <w:rFonts w:ascii="Georgia" w:hAnsi="Georgia"/>
        </w:rPr>
        <w:footnoteRef/>
      </w:r>
      <w:r w:rsidRPr="00337E3A">
        <w:rPr>
          <w:rFonts w:ascii="Georgia" w:hAnsi="Georgia"/>
        </w:rPr>
        <w:t xml:space="preserve"> </w:t>
      </w:r>
      <w:r w:rsidR="00FE63BB">
        <w:rPr>
          <w:rFonts w:ascii="Georgia" w:hAnsi="Georgia"/>
        </w:rPr>
        <w:t xml:space="preserve">Il testo del </w:t>
      </w:r>
      <w:r w:rsidR="00FE63BB" w:rsidRPr="008410DA">
        <w:rPr>
          <w:rFonts w:ascii="Georgia" w:eastAsiaTheme="minorHAnsi" w:hAnsi="Georgia" w:cstheme="minorBidi"/>
          <w:lang w:eastAsia="en-US"/>
        </w:rPr>
        <w:t>Piano nazionale per lo sviluppo della mobilità elettrica</w:t>
      </w:r>
      <w:r w:rsidR="00FE63BB" w:rsidRPr="00337E3A">
        <w:rPr>
          <w:rFonts w:ascii="Georgia" w:hAnsi="Georgia"/>
        </w:rPr>
        <w:t xml:space="preserve"> </w:t>
      </w:r>
      <w:r w:rsidR="00FE63BB">
        <w:rPr>
          <w:rFonts w:ascii="Georgia" w:hAnsi="Georgia"/>
        </w:rPr>
        <w:t>è disponibile anche in</w:t>
      </w:r>
      <w:r w:rsidRPr="00337E3A">
        <w:rPr>
          <w:rFonts w:ascii="Georgia" w:hAnsi="Georgia"/>
        </w:rPr>
        <w:t xml:space="preserve"> </w:t>
      </w:r>
      <w:hyperlink r:id="rId1" w:history="1">
        <w:r w:rsidRPr="00337E3A">
          <w:rPr>
            <w:rStyle w:val="Collegamentoipertestuale"/>
            <w:rFonts w:ascii="Georgia" w:hAnsi="Georgia"/>
          </w:rPr>
          <w:t>versione</w:t>
        </w:r>
        <w:r w:rsidR="00FE63BB">
          <w:rPr>
            <w:rStyle w:val="Collegamentoipertestuale"/>
            <w:rFonts w:ascii="Georgia" w:hAnsi="Georgia"/>
          </w:rPr>
          <w:t xml:space="preserve"> </w:t>
        </w:r>
        <w:r w:rsidRPr="00337E3A">
          <w:rPr>
            <w:rStyle w:val="Collegamentoipertestuale"/>
            <w:rFonts w:ascii="Georgia" w:hAnsi="Georgia"/>
          </w:rPr>
          <w:t>inglese</w:t>
        </w:r>
      </w:hyperlink>
      <w:r w:rsidRPr="00337E3A">
        <w:rPr>
          <w:rFonts w:ascii="Georgia" w:hAnsi="Georgia"/>
        </w:rPr>
        <w:t>.</w:t>
      </w:r>
    </w:p>
  </w:footnote>
  <w:footnote w:id="6">
    <w:p w:rsidR="000222F3" w:rsidRPr="00337E3A" w:rsidRDefault="000222F3" w:rsidP="00337E3A">
      <w:pPr>
        <w:pStyle w:val="Testonotaapidipagina"/>
        <w:jc w:val="both"/>
        <w:rPr>
          <w:rFonts w:ascii="Georgia" w:hAnsi="Georgia"/>
        </w:rPr>
      </w:pPr>
      <w:r w:rsidRPr="00337E3A">
        <w:rPr>
          <w:rStyle w:val="Rimandonotaapidipagina"/>
          <w:rFonts w:ascii="Georgia" w:hAnsi="Georgia"/>
        </w:rPr>
        <w:footnoteRef/>
      </w:r>
      <w:r w:rsidRPr="00337E3A">
        <w:rPr>
          <w:rFonts w:ascii="Georgia" w:hAnsi="Georgia"/>
        </w:rPr>
        <w:t xml:space="preserve"> Le finalità di tutela ambientale sono state perseguite dal legislatore del 2208 anche mediante la pianificazione di misure per l’efficiente gestione delle conseguenze indotte dai cambiamenti climatici (</w:t>
      </w:r>
      <w:hyperlink r:id="rId2" w:history="1">
        <w:r w:rsidRPr="00337E3A">
          <w:rPr>
            <w:rStyle w:val="Collegamentoipertestuale"/>
            <w:rFonts w:ascii="Georgia" w:hAnsi="Georgia"/>
            <w:i/>
          </w:rPr>
          <w:t xml:space="preserve">National Adaptation </w:t>
        </w:r>
        <w:proofErr w:type="spellStart"/>
        <w:r w:rsidRPr="00337E3A">
          <w:rPr>
            <w:rStyle w:val="Collegamentoipertestuale"/>
            <w:rFonts w:ascii="Georgia" w:hAnsi="Georgia"/>
            <w:i/>
          </w:rPr>
          <w:t>Programme</w:t>
        </w:r>
        <w:proofErr w:type="spellEnd"/>
      </w:hyperlink>
      <w:r w:rsidRPr="00337E3A">
        <w:rPr>
          <w:rFonts w:ascii="Georgia" w:hAnsi="Georgia"/>
        </w:rPr>
        <w:t>), procedure di valutazione dei rischi (</w:t>
      </w:r>
      <w:proofErr w:type="spellStart"/>
      <w:r w:rsidRPr="00337E3A">
        <w:rPr>
          <w:rFonts w:ascii="Georgia" w:hAnsi="Georgia"/>
          <w:i/>
        </w:rPr>
        <w:fldChar w:fldCharType="begin"/>
      </w:r>
      <w:r w:rsidRPr="00337E3A">
        <w:rPr>
          <w:rFonts w:ascii="Georgia" w:hAnsi="Georgia"/>
          <w:i/>
        </w:rPr>
        <w:instrText xml:space="preserve"> HYPERLINK "https://www.theccc.org.uk/tackling-climate-change/preparing-for-climate-change/climate-change-risk-assessment-2017/" </w:instrText>
      </w:r>
      <w:r w:rsidRPr="00337E3A">
        <w:rPr>
          <w:rFonts w:ascii="Georgia" w:hAnsi="Georgia"/>
          <w:i/>
        </w:rPr>
        <w:fldChar w:fldCharType="separate"/>
      </w:r>
      <w:r w:rsidRPr="00337E3A">
        <w:rPr>
          <w:rStyle w:val="Collegamentoipertestuale"/>
          <w:rFonts w:ascii="Georgia" w:hAnsi="Georgia"/>
          <w:i/>
        </w:rPr>
        <w:t>Climate</w:t>
      </w:r>
      <w:proofErr w:type="spellEnd"/>
      <w:r w:rsidRPr="00337E3A">
        <w:rPr>
          <w:rStyle w:val="Collegamentoipertestuale"/>
          <w:rFonts w:ascii="Georgia" w:hAnsi="Georgia"/>
          <w:i/>
        </w:rPr>
        <w:t xml:space="preserve"> </w:t>
      </w:r>
      <w:proofErr w:type="spellStart"/>
      <w:r w:rsidRPr="00337E3A">
        <w:rPr>
          <w:rStyle w:val="Collegamentoipertestuale"/>
          <w:rFonts w:ascii="Georgia" w:hAnsi="Georgia"/>
          <w:i/>
        </w:rPr>
        <w:t>Change</w:t>
      </w:r>
      <w:proofErr w:type="spellEnd"/>
      <w:r w:rsidRPr="00337E3A">
        <w:rPr>
          <w:rStyle w:val="Collegamentoipertestuale"/>
          <w:rFonts w:ascii="Georgia" w:hAnsi="Georgia"/>
          <w:i/>
        </w:rPr>
        <w:t xml:space="preserve"> </w:t>
      </w:r>
      <w:proofErr w:type="spellStart"/>
      <w:r w:rsidRPr="00337E3A">
        <w:rPr>
          <w:rStyle w:val="Collegamentoipertestuale"/>
          <w:rFonts w:ascii="Georgia" w:hAnsi="Georgia"/>
          <w:i/>
        </w:rPr>
        <w:t>Risk</w:t>
      </w:r>
      <w:proofErr w:type="spellEnd"/>
      <w:r w:rsidRPr="00337E3A">
        <w:rPr>
          <w:rStyle w:val="Collegamentoipertestuale"/>
          <w:rFonts w:ascii="Georgia" w:hAnsi="Georgia"/>
          <w:i/>
        </w:rPr>
        <w:t xml:space="preserve"> </w:t>
      </w:r>
      <w:proofErr w:type="spellStart"/>
      <w:r w:rsidRPr="00337E3A">
        <w:rPr>
          <w:rStyle w:val="Collegamentoipertestuale"/>
          <w:rFonts w:ascii="Georgia" w:hAnsi="Georgia"/>
          <w:i/>
        </w:rPr>
        <w:t>Assessment</w:t>
      </w:r>
      <w:proofErr w:type="spellEnd"/>
      <w:r w:rsidRPr="00337E3A">
        <w:rPr>
          <w:rFonts w:ascii="Georgia" w:hAnsi="Georgia"/>
          <w:i/>
        </w:rPr>
        <w:fldChar w:fldCharType="end"/>
      </w:r>
      <w:r w:rsidRPr="00337E3A">
        <w:rPr>
          <w:rFonts w:ascii="Georgia" w:hAnsi="Georgia"/>
        </w:rPr>
        <w:t xml:space="preserve">), e la costituzione di un organo consultivo indipendente, il </w:t>
      </w:r>
      <w:hyperlink r:id="rId3" w:history="1">
        <w:proofErr w:type="spellStart"/>
        <w:r w:rsidRPr="00337E3A">
          <w:rPr>
            <w:rStyle w:val="Collegamentoipertestuale"/>
            <w:rFonts w:ascii="Georgia" w:hAnsi="Georgia"/>
            <w:i/>
          </w:rPr>
          <w:t>Committee</w:t>
        </w:r>
        <w:proofErr w:type="spellEnd"/>
        <w:r w:rsidRPr="00337E3A">
          <w:rPr>
            <w:rStyle w:val="Collegamentoipertestuale"/>
            <w:rFonts w:ascii="Georgia" w:hAnsi="Georgia"/>
            <w:i/>
          </w:rPr>
          <w:t xml:space="preserve"> on </w:t>
        </w:r>
        <w:proofErr w:type="spellStart"/>
        <w:r w:rsidRPr="00337E3A">
          <w:rPr>
            <w:rStyle w:val="Collegamentoipertestuale"/>
            <w:rFonts w:ascii="Georgia" w:hAnsi="Georgia"/>
            <w:i/>
          </w:rPr>
          <w:t>Climate</w:t>
        </w:r>
        <w:proofErr w:type="spellEnd"/>
        <w:r w:rsidRPr="00337E3A">
          <w:rPr>
            <w:rStyle w:val="Collegamentoipertestuale"/>
            <w:rFonts w:ascii="Georgia" w:hAnsi="Georgia"/>
            <w:i/>
          </w:rPr>
          <w:t xml:space="preserve"> </w:t>
        </w:r>
        <w:proofErr w:type="spellStart"/>
        <w:r w:rsidRPr="00337E3A">
          <w:rPr>
            <w:rStyle w:val="Collegamentoipertestuale"/>
            <w:rFonts w:ascii="Georgia" w:hAnsi="Georgia"/>
            <w:i/>
          </w:rPr>
          <w:t>Change</w:t>
        </w:r>
        <w:proofErr w:type="spellEnd"/>
      </w:hyperlink>
      <w:r w:rsidRPr="00337E3A">
        <w:rPr>
          <w:rFonts w:ascii="Georgia" w:hAnsi="Georgia"/>
        </w:rPr>
        <w:t>.</w:t>
      </w:r>
    </w:p>
  </w:footnote>
  <w:footnote w:id="7">
    <w:p w:rsidR="000222F3" w:rsidRPr="00337E3A" w:rsidRDefault="000222F3" w:rsidP="00337E3A">
      <w:pPr>
        <w:pStyle w:val="Testonotaapidipagina"/>
        <w:jc w:val="both"/>
        <w:rPr>
          <w:rFonts w:ascii="Georgia" w:hAnsi="Georgia"/>
        </w:rPr>
      </w:pPr>
      <w:r w:rsidRPr="00337E3A">
        <w:rPr>
          <w:rStyle w:val="Rimandonotaapidipagina"/>
          <w:rFonts w:ascii="Georgia" w:hAnsi="Georgia"/>
        </w:rPr>
        <w:footnoteRef/>
      </w:r>
      <w:r w:rsidRPr="00337E3A">
        <w:rPr>
          <w:rFonts w:ascii="Georgia" w:hAnsi="Georgia"/>
        </w:rPr>
        <w:t xml:space="preserve"> Disciplinato dalle </w:t>
      </w:r>
      <w:hyperlink r:id="rId4" w:history="1">
        <w:proofErr w:type="spellStart"/>
        <w:r w:rsidRPr="00337E3A">
          <w:rPr>
            <w:rStyle w:val="Collegamentoipertestuale"/>
            <w:rFonts w:ascii="Georgia" w:hAnsi="Georgia"/>
            <w:i/>
          </w:rPr>
          <w:t>Electricity</w:t>
        </w:r>
        <w:proofErr w:type="spellEnd"/>
        <w:r w:rsidRPr="00337E3A">
          <w:rPr>
            <w:rStyle w:val="Collegamentoipertestuale"/>
            <w:rFonts w:ascii="Georgia" w:hAnsi="Georgia"/>
            <w:i/>
          </w:rPr>
          <w:t xml:space="preserve"> </w:t>
        </w:r>
        <w:proofErr w:type="spellStart"/>
        <w:r w:rsidRPr="00337E3A">
          <w:rPr>
            <w:rStyle w:val="Collegamentoipertestuale"/>
            <w:rFonts w:ascii="Georgia" w:hAnsi="Georgia"/>
            <w:i/>
          </w:rPr>
          <w:t>Capacity</w:t>
        </w:r>
        <w:proofErr w:type="spellEnd"/>
        <w:r w:rsidRPr="00337E3A">
          <w:rPr>
            <w:rStyle w:val="Collegamentoipertestuale"/>
            <w:rFonts w:ascii="Georgia" w:hAnsi="Georgia"/>
            <w:i/>
          </w:rPr>
          <w:t xml:space="preserve"> </w:t>
        </w:r>
        <w:proofErr w:type="spellStart"/>
        <w:r w:rsidRPr="00337E3A">
          <w:rPr>
            <w:rStyle w:val="Collegamentoipertestuale"/>
            <w:rFonts w:ascii="Georgia" w:hAnsi="Georgia"/>
            <w:i/>
          </w:rPr>
          <w:t>Regulations</w:t>
        </w:r>
        <w:proofErr w:type="spellEnd"/>
        <w:r w:rsidRPr="00337E3A">
          <w:rPr>
            <w:rStyle w:val="Collegamentoipertestuale"/>
            <w:rFonts w:ascii="Georgia" w:hAnsi="Georgia"/>
            <w:i/>
          </w:rPr>
          <w:t xml:space="preserve"> 2014</w:t>
        </w:r>
      </w:hyperlink>
      <w:r w:rsidRPr="00337E3A">
        <w:rPr>
          <w:rFonts w:ascii="Georgia" w:hAnsi="Georgia"/>
        </w:rPr>
        <w:t xml:space="preserve"> e, da ultimo, dalle </w:t>
      </w:r>
      <w:hyperlink r:id="rId5" w:history="1">
        <w:proofErr w:type="spellStart"/>
        <w:r w:rsidRPr="00337E3A">
          <w:rPr>
            <w:rStyle w:val="Collegamentoipertestuale"/>
            <w:rFonts w:ascii="Georgia" w:hAnsi="Georgia"/>
            <w:i/>
          </w:rPr>
          <w:t>Capacity</w:t>
        </w:r>
        <w:proofErr w:type="spellEnd"/>
        <w:r w:rsidRPr="00337E3A">
          <w:rPr>
            <w:rStyle w:val="Collegamentoipertestuale"/>
            <w:rFonts w:ascii="Georgia" w:hAnsi="Georgia"/>
            <w:i/>
          </w:rPr>
          <w:t xml:space="preserve"> Market </w:t>
        </w:r>
        <w:proofErr w:type="spellStart"/>
        <w:r w:rsidRPr="00337E3A">
          <w:rPr>
            <w:rStyle w:val="Collegamentoipertestuale"/>
            <w:rFonts w:ascii="Georgia" w:hAnsi="Georgia"/>
            <w:i/>
          </w:rPr>
          <w:t>Rules</w:t>
        </w:r>
        <w:proofErr w:type="spellEnd"/>
        <w:r w:rsidRPr="00337E3A">
          <w:rPr>
            <w:rStyle w:val="Collegamentoipertestuale"/>
            <w:rFonts w:ascii="Georgia" w:hAnsi="Georgia"/>
            <w:i/>
          </w:rPr>
          <w:t xml:space="preserve"> 2016</w:t>
        </w:r>
      </w:hyperlink>
      <w:r w:rsidRPr="00337E3A">
        <w:rPr>
          <w:rFonts w:ascii="Georgia" w:hAnsi="Georgia"/>
        </w:rPr>
        <w:t>, sulla cui applicazione vigila l’autorità regolatrice di settore (</w:t>
      </w:r>
      <w:proofErr w:type="spellStart"/>
      <w:r w:rsidRPr="00FB4D3B">
        <w:rPr>
          <w:rFonts w:ascii="Georgia" w:hAnsi="Georgia"/>
          <w:i/>
        </w:rPr>
        <w:t>Ofgem</w:t>
      </w:r>
      <w:proofErr w:type="spellEnd"/>
      <w:r w:rsidRPr="00337E3A">
        <w:rPr>
          <w:rFonts w:ascii="Georgia" w:hAnsi="Georgia"/>
        </w:rPr>
        <w:t>).</w:t>
      </w:r>
    </w:p>
  </w:footnote>
  <w:footnote w:id="8">
    <w:p w:rsidR="000222F3" w:rsidRPr="00337E3A" w:rsidRDefault="000222F3" w:rsidP="00337E3A">
      <w:pPr>
        <w:pStyle w:val="Testonotaapidipagina"/>
        <w:jc w:val="both"/>
        <w:rPr>
          <w:rFonts w:ascii="Georgia" w:hAnsi="Georgia"/>
        </w:rPr>
      </w:pPr>
      <w:r w:rsidRPr="00337E3A">
        <w:rPr>
          <w:rStyle w:val="Rimandonotaapidipagina"/>
          <w:rFonts w:ascii="Georgia" w:hAnsi="Georgia"/>
        </w:rPr>
        <w:footnoteRef/>
      </w:r>
      <w:r w:rsidRPr="00337E3A">
        <w:rPr>
          <w:rFonts w:ascii="Georgia" w:hAnsi="Georgia"/>
        </w:rPr>
        <w:t xml:space="preserve"> House of </w:t>
      </w:r>
      <w:proofErr w:type="spellStart"/>
      <w:r w:rsidRPr="00337E3A">
        <w:rPr>
          <w:rFonts w:ascii="Georgia" w:hAnsi="Georgia"/>
        </w:rPr>
        <w:t>Lords</w:t>
      </w:r>
      <w:proofErr w:type="spellEnd"/>
      <w:r w:rsidRPr="00337E3A">
        <w:rPr>
          <w:rFonts w:ascii="Georgia" w:hAnsi="Georgia"/>
        </w:rPr>
        <w:t xml:space="preserve">, Select </w:t>
      </w:r>
      <w:proofErr w:type="spellStart"/>
      <w:r w:rsidRPr="00337E3A">
        <w:rPr>
          <w:rFonts w:ascii="Georgia" w:hAnsi="Georgia"/>
        </w:rPr>
        <w:t>Committee</w:t>
      </w:r>
      <w:proofErr w:type="spellEnd"/>
      <w:r w:rsidRPr="00337E3A">
        <w:rPr>
          <w:rFonts w:ascii="Georgia" w:hAnsi="Georgia"/>
        </w:rPr>
        <w:t xml:space="preserve"> on </w:t>
      </w:r>
      <w:proofErr w:type="spellStart"/>
      <w:r w:rsidRPr="00337E3A">
        <w:rPr>
          <w:rFonts w:ascii="Georgia" w:hAnsi="Georgia"/>
        </w:rPr>
        <w:t>Economic</w:t>
      </w:r>
      <w:proofErr w:type="spellEnd"/>
      <w:r w:rsidRPr="00337E3A">
        <w:rPr>
          <w:rFonts w:ascii="Georgia" w:hAnsi="Georgia"/>
        </w:rPr>
        <w:t xml:space="preserve"> Affairs, </w:t>
      </w:r>
      <w:proofErr w:type="spellStart"/>
      <w:r w:rsidRPr="00337E3A">
        <w:rPr>
          <w:rFonts w:ascii="Georgia" w:hAnsi="Georgia"/>
          <w:i/>
        </w:rPr>
        <w:t>Inquiry</w:t>
      </w:r>
      <w:proofErr w:type="spellEnd"/>
      <w:r w:rsidRPr="00337E3A">
        <w:rPr>
          <w:rFonts w:ascii="Georgia" w:hAnsi="Georgia"/>
          <w:i/>
        </w:rPr>
        <w:t xml:space="preserve"> </w:t>
      </w:r>
      <w:proofErr w:type="spellStart"/>
      <w:r w:rsidRPr="00337E3A">
        <w:rPr>
          <w:rFonts w:ascii="Georgia" w:hAnsi="Georgia"/>
          <w:i/>
        </w:rPr>
        <w:t>into</w:t>
      </w:r>
      <w:proofErr w:type="spellEnd"/>
      <w:r w:rsidRPr="00337E3A">
        <w:rPr>
          <w:rFonts w:ascii="Georgia" w:hAnsi="Georgia"/>
          <w:i/>
        </w:rPr>
        <w:t xml:space="preserve"> the </w:t>
      </w:r>
      <w:proofErr w:type="spellStart"/>
      <w:r w:rsidRPr="00337E3A">
        <w:rPr>
          <w:rFonts w:ascii="Georgia" w:hAnsi="Georgia"/>
          <w:i/>
        </w:rPr>
        <w:t>Economics</w:t>
      </w:r>
      <w:proofErr w:type="spellEnd"/>
      <w:r w:rsidRPr="00337E3A">
        <w:rPr>
          <w:rFonts w:ascii="Georgia" w:hAnsi="Georgia"/>
          <w:i/>
        </w:rPr>
        <w:t xml:space="preserve"> of UK Energy Policy</w:t>
      </w:r>
      <w:r w:rsidRPr="00337E3A">
        <w:rPr>
          <w:rFonts w:ascii="Georgia" w:hAnsi="Georgia"/>
        </w:rPr>
        <w:t xml:space="preserve">, </w:t>
      </w:r>
      <w:hyperlink r:id="rId6" w:history="1">
        <w:proofErr w:type="spellStart"/>
        <w:r w:rsidRPr="00337E3A">
          <w:rPr>
            <w:rStyle w:val="Collegamentoipertestuale"/>
            <w:rFonts w:ascii="Georgia" w:hAnsi="Georgia"/>
          </w:rPr>
          <w:t>Written</w:t>
        </w:r>
        <w:proofErr w:type="spellEnd"/>
        <w:r w:rsidRPr="00337E3A">
          <w:rPr>
            <w:rStyle w:val="Collegamentoipertestuale"/>
            <w:rFonts w:ascii="Georgia" w:hAnsi="Georgia"/>
          </w:rPr>
          <w:t xml:space="preserve"> </w:t>
        </w:r>
        <w:proofErr w:type="spellStart"/>
        <w:r w:rsidRPr="00337E3A">
          <w:rPr>
            <w:rStyle w:val="Collegamentoipertestuale"/>
            <w:rFonts w:ascii="Georgia" w:hAnsi="Georgia"/>
          </w:rPr>
          <w:t>Evidence</w:t>
        </w:r>
        <w:proofErr w:type="spellEnd"/>
      </w:hyperlink>
      <w:r w:rsidRPr="00337E3A">
        <w:rPr>
          <w:rFonts w:ascii="Georgia" w:hAnsi="Georgia"/>
        </w:rPr>
        <w:t>.</w:t>
      </w:r>
    </w:p>
    <w:p w:rsidR="000222F3" w:rsidRPr="00337E3A" w:rsidRDefault="000222F3" w:rsidP="00337E3A">
      <w:pPr>
        <w:pStyle w:val="Testonotaapidipagina"/>
        <w:jc w:val="both"/>
        <w:rPr>
          <w:rFonts w:ascii="Georgia" w:hAnsi="Georgia"/>
        </w:rPr>
      </w:pPr>
      <w:r w:rsidRPr="00337E3A">
        <w:rPr>
          <w:rFonts w:ascii="Georgia" w:hAnsi="Georgia"/>
        </w:rPr>
        <w:t xml:space="preserve"> </w:t>
      </w:r>
    </w:p>
  </w:footnote>
  <w:footnote w:id="9">
    <w:p w:rsidR="000222F3" w:rsidRPr="00337E3A" w:rsidRDefault="000222F3" w:rsidP="00337E3A">
      <w:pPr>
        <w:pStyle w:val="Testonotaapidipagina"/>
        <w:jc w:val="both"/>
        <w:rPr>
          <w:rFonts w:ascii="Georgia" w:hAnsi="Georgia"/>
        </w:rPr>
      </w:pPr>
      <w:r w:rsidRPr="00337E3A">
        <w:rPr>
          <w:rStyle w:val="Rimandonotaapidipagina"/>
          <w:rFonts w:ascii="Georgia" w:hAnsi="Georgia"/>
        </w:rPr>
        <w:footnoteRef/>
      </w:r>
      <w:r w:rsidRPr="00337E3A">
        <w:rPr>
          <w:rFonts w:ascii="Georgia" w:hAnsi="Georgia"/>
        </w:rPr>
        <w:t xml:space="preserve"> “</w:t>
      </w:r>
      <w:proofErr w:type="spellStart"/>
      <w:r w:rsidRPr="00337E3A">
        <w:rPr>
          <w:rFonts w:ascii="Georgia" w:hAnsi="Georgia"/>
        </w:rPr>
        <w:t>We</w:t>
      </w:r>
      <w:proofErr w:type="spellEnd"/>
      <w:r w:rsidRPr="00337E3A">
        <w:rPr>
          <w:rFonts w:ascii="Georgia" w:hAnsi="Georgia"/>
        </w:rPr>
        <w:t xml:space="preserve"> </w:t>
      </w:r>
      <w:proofErr w:type="spellStart"/>
      <w:r w:rsidRPr="00337E3A">
        <w:rPr>
          <w:rFonts w:ascii="Georgia" w:hAnsi="Georgia"/>
        </w:rPr>
        <w:t>believe</w:t>
      </w:r>
      <w:proofErr w:type="spellEnd"/>
      <w:r w:rsidRPr="00337E3A">
        <w:rPr>
          <w:rFonts w:ascii="Georgia" w:hAnsi="Georgia"/>
        </w:rPr>
        <w:t xml:space="preserve"> security of </w:t>
      </w:r>
      <w:proofErr w:type="spellStart"/>
      <w:r w:rsidRPr="00337E3A">
        <w:rPr>
          <w:rFonts w:ascii="Georgia" w:hAnsi="Georgia"/>
        </w:rPr>
        <w:t>supply</w:t>
      </w:r>
      <w:proofErr w:type="spellEnd"/>
      <w:r w:rsidRPr="00337E3A">
        <w:rPr>
          <w:rFonts w:ascii="Georgia" w:hAnsi="Georgia"/>
        </w:rPr>
        <w:t xml:space="preserve"> must be the </w:t>
      </w:r>
      <w:proofErr w:type="spellStart"/>
      <w:r w:rsidRPr="00337E3A">
        <w:rPr>
          <w:rFonts w:ascii="Georgia" w:hAnsi="Georgia"/>
        </w:rPr>
        <w:t>predominant</w:t>
      </w:r>
      <w:proofErr w:type="spellEnd"/>
      <w:r w:rsidRPr="00337E3A">
        <w:rPr>
          <w:rFonts w:ascii="Georgia" w:hAnsi="Georgia"/>
        </w:rPr>
        <w:t xml:space="preserve"> </w:t>
      </w:r>
      <w:proofErr w:type="spellStart"/>
      <w:r w:rsidRPr="00337E3A">
        <w:rPr>
          <w:rFonts w:ascii="Georgia" w:hAnsi="Georgia"/>
        </w:rPr>
        <w:t>consideration</w:t>
      </w:r>
      <w:proofErr w:type="spellEnd"/>
      <w:r w:rsidRPr="00337E3A">
        <w:rPr>
          <w:rFonts w:ascii="Georgia" w:hAnsi="Georgia"/>
        </w:rPr>
        <w:t xml:space="preserve"> in </w:t>
      </w:r>
      <w:proofErr w:type="spellStart"/>
      <w:r w:rsidRPr="00337E3A">
        <w:rPr>
          <w:rFonts w:ascii="Georgia" w:hAnsi="Georgia"/>
        </w:rPr>
        <w:t>energy</w:t>
      </w:r>
      <w:proofErr w:type="spellEnd"/>
      <w:r w:rsidRPr="00337E3A">
        <w:rPr>
          <w:rFonts w:ascii="Georgia" w:hAnsi="Georgia"/>
        </w:rPr>
        <w:t xml:space="preserve"> policy, </w:t>
      </w:r>
      <w:proofErr w:type="spellStart"/>
      <w:r w:rsidRPr="00337E3A">
        <w:rPr>
          <w:rFonts w:ascii="Georgia" w:hAnsi="Georgia"/>
        </w:rPr>
        <w:t>as</w:t>
      </w:r>
      <w:proofErr w:type="spellEnd"/>
      <w:r w:rsidRPr="00337E3A">
        <w:rPr>
          <w:rFonts w:ascii="Georgia" w:hAnsi="Georgia"/>
        </w:rPr>
        <w:t xml:space="preserve"> </w:t>
      </w:r>
      <w:proofErr w:type="spellStart"/>
      <w:r w:rsidRPr="00337E3A">
        <w:rPr>
          <w:rFonts w:ascii="Georgia" w:hAnsi="Georgia"/>
        </w:rPr>
        <w:t>confirmed</w:t>
      </w:r>
      <w:proofErr w:type="spellEnd"/>
      <w:r w:rsidRPr="00337E3A">
        <w:rPr>
          <w:rFonts w:ascii="Georgia" w:hAnsi="Georgia"/>
        </w:rPr>
        <w:t xml:space="preserve"> to </w:t>
      </w:r>
      <w:proofErr w:type="spellStart"/>
      <w:r w:rsidRPr="00337E3A">
        <w:rPr>
          <w:rFonts w:ascii="Georgia" w:hAnsi="Georgia"/>
        </w:rPr>
        <w:t>us</w:t>
      </w:r>
      <w:proofErr w:type="spellEnd"/>
      <w:r w:rsidRPr="00337E3A">
        <w:rPr>
          <w:rFonts w:ascii="Georgia" w:hAnsi="Georgia"/>
        </w:rPr>
        <w:t xml:space="preserve"> by the </w:t>
      </w:r>
      <w:proofErr w:type="spellStart"/>
      <w:r w:rsidRPr="00337E3A">
        <w:rPr>
          <w:rFonts w:ascii="Georgia" w:hAnsi="Georgia"/>
        </w:rPr>
        <w:t>Secretary</w:t>
      </w:r>
      <w:proofErr w:type="spellEnd"/>
      <w:r w:rsidRPr="00337E3A">
        <w:rPr>
          <w:rFonts w:ascii="Georgia" w:hAnsi="Georgia"/>
        </w:rPr>
        <w:t xml:space="preserve"> of State. </w:t>
      </w:r>
      <w:proofErr w:type="spellStart"/>
      <w:r w:rsidRPr="00337E3A">
        <w:rPr>
          <w:rFonts w:ascii="Georgia" w:hAnsi="Georgia"/>
        </w:rPr>
        <w:t>Decarbonisation</w:t>
      </w:r>
      <w:proofErr w:type="spellEnd"/>
      <w:r w:rsidRPr="00337E3A">
        <w:rPr>
          <w:rFonts w:ascii="Georgia" w:hAnsi="Georgia"/>
        </w:rPr>
        <w:t xml:space="preserve"> of the </w:t>
      </w:r>
      <w:proofErr w:type="spellStart"/>
      <w:r w:rsidRPr="00337E3A">
        <w:rPr>
          <w:rFonts w:ascii="Georgia" w:hAnsi="Georgia"/>
        </w:rPr>
        <w:t>electricity</w:t>
      </w:r>
      <w:proofErr w:type="spellEnd"/>
      <w:r w:rsidRPr="00337E3A">
        <w:rPr>
          <w:rFonts w:ascii="Georgia" w:hAnsi="Georgia"/>
        </w:rPr>
        <w:t xml:space="preserve"> </w:t>
      </w:r>
      <w:proofErr w:type="spellStart"/>
      <w:r w:rsidRPr="00337E3A">
        <w:rPr>
          <w:rFonts w:ascii="Georgia" w:hAnsi="Georgia"/>
        </w:rPr>
        <w:t>supply</w:t>
      </w:r>
      <w:proofErr w:type="spellEnd"/>
      <w:r w:rsidRPr="00337E3A">
        <w:rPr>
          <w:rFonts w:ascii="Georgia" w:hAnsi="Georgia"/>
        </w:rPr>
        <w:t xml:space="preserve"> </w:t>
      </w:r>
      <w:proofErr w:type="spellStart"/>
      <w:r w:rsidRPr="00337E3A">
        <w:rPr>
          <w:rFonts w:ascii="Georgia" w:hAnsi="Georgia"/>
        </w:rPr>
        <w:t>should</w:t>
      </w:r>
      <w:proofErr w:type="spellEnd"/>
      <w:r w:rsidRPr="00337E3A">
        <w:rPr>
          <w:rFonts w:ascii="Georgia" w:hAnsi="Georgia"/>
        </w:rPr>
        <w:t xml:space="preserve"> be </w:t>
      </w:r>
      <w:proofErr w:type="spellStart"/>
      <w:r w:rsidRPr="00337E3A">
        <w:rPr>
          <w:rFonts w:ascii="Georgia" w:hAnsi="Georgia"/>
        </w:rPr>
        <w:t>encouraged</w:t>
      </w:r>
      <w:proofErr w:type="spellEnd"/>
      <w:r w:rsidRPr="00337E3A">
        <w:rPr>
          <w:rFonts w:ascii="Georgia" w:hAnsi="Georgia"/>
        </w:rPr>
        <w:t xml:space="preserve"> </w:t>
      </w:r>
      <w:proofErr w:type="spellStart"/>
      <w:r w:rsidRPr="00337E3A">
        <w:rPr>
          <w:rFonts w:ascii="Georgia" w:hAnsi="Georgia"/>
        </w:rPr>
        <w:t>but</w:t>
      </w:r>
      <w:proofErr w:type="spellEnd"/>
      <w:r w:rsidRPr="00337E3A">
        <w:rPr>
          <w:rFonts w:ascii="Georgia" w:hAnsi="Georgia"/>
        </w:rPr>
        <w:t xml:space="preserve"> in a more </w:t>
      </w:r>
      <w:proofErr w:type="spellStart"/>
      <w:r w:rsidRPr="00337E3A">
        <w:rPr>
          <w:rFonts w:ascii="Georgia" w:hAnsi="Georgia"/>
        </w:rPr>
        <w:t>cost-effective</w:t>
      </w:r>
      <w:proofErr w:type="spellEnd"/>
      <w:r w:rsidRPr="00337E3A">
        <w:rPr>
          <w:rFonts w:ascii="Georgia" w:hAnsi="Georgia"/>
        </w:rPr>
        <w:t xml:space="preserve"> way </w:t>
      </w:r>
      <w:proofErr w:type="spellStart"/>
      <w:r w:rsidRPr="00337E3A">
        <w:rPr>
          <w:rFonts w:ascii="Georgia" w:hAnsi="Georgia"/>
        </w:rPr>
        <w:t>than</w:t>
      </w:r>
      <w:proofErr w:type="spellEnd"/>
      <w:r w:rsidRPr="00337E3A">
        <w:rPr>
          <w:rFonts w:ascii="Georgia" w:hAnsi="Georgia"/>
        </w:rPr>
        <w:t xml:space="preserve"> </w:t>
      </w:r>
      <w:proofErr w:type="spellStart"/>
      <w:r w:rsidRPr="00337E3A">
        <w:rPr>
          <w:rFonts w:ascii="Georgia" w:hAnsi="Georgia"/>
        </w:rPr>
        <w:t>it</w:t>
      </w:r>
      <w:proofErr w:type="spellEnd"/>
      <w:r w:rsidRPr="00337E3A">
        <w:rPr>
          <w:rFonts w:ascii="Georgia" w:hAnsi="Georgia"/>
        </w:rPr>
        <w:t xml:space="preserve"> </w:t>
      </w:r>
      <w:proofErr w:type="spellStart"/>
      <w:r w:rsidRPr="00337E3A">
        <w:rPr>
          <w:rFonts w:ascii="Georgia" w:hAnsi="Georgia"/>
        </w:rPr>
        <w:t>has</w:t>
      </w:r>
      <w:proofErr w:type="spellEnd"/>
      <w:r w:rsidRPr="00337E3A">
        <w:rPr>
          <w:rFonts w:ascii="Georgia" w:hAnsi="Georgia"/>
        </w:rPr>
        <w:t xml:space="preserve"> </w:t>
      </w:r>
      <w:proofErr w:type="spellStart"/>
      <w:r w:rsidRPr="00337E3A">
        <w:rPr>
          <w:rFonts w:ascii="Georgia" w:hAnsi="Georgia"/>
        </w:rPr>
        <w:t>been</w:t>
      </w:r>
      <w:proofErr w:type="spellEnd"/>
      <w:r w:rsidRPr="00337E3A">
        <w:rPr>
          <w:rFonts w:ascii="Georgia" w:hAnsi="Georgia"/>
        </w:rPr>
        <w:t xml:space="preserve"> to date”: così si è espressa, da ultimo, il </w:t>
      </w:r>
      <w:proofErr w:type="spellStart"/>
      <w:r w:rsidRPr="00337E3A">
        <w:rPr>
          <w:rFonts w:ascii="Georgia" w:hAnsi="Georgia"/>
        </w:rPr>
        <w:t>Committee</w:t>
      </w:r>
      <w:proofErr w:type="spellEnd"/>
      <w:r w:rsidRPr="00337E3A">
        <w:rPr>
          <w:rFonts w:ascii="Georgia" w:hAnsi="Georgia"/>
        </w:rPr>
        <w:t xml:space="preserve"> on </w:t>
      </w:r>
      <w:proofErr w:type="spellStart"/>
      <w:r w:rsidRPr="00337E3A">
        <w:rPr>
          <w:rFonts w:ascii="Georgia" w:hAnsi="Georgia"/>
        </w:rPr>
        <w:t>Economic</w:t>
      </w:r>
      <w:proofErr w:type="spellEnd"/>
      <w:r w:rsidRPr="00337E3A">
        <w:rPr>
          <w:rFonts w:ascii="Georgia" w:hAnsi="Georgia"/>
        </w:rPr>
        <w:t xml:space="preserve"> Affairs della House of </w:t>
      </w:r>
      <w:proofErr w:type="spellStart"/>
      <w:r w:rsidRPr="00337E3A">
        <w:rPr>
          <w:rFonts w:ascii="Georgia" w:hAnsi="Georgia"/>
        </w:rPr>
        <w:t>Lords</w:t>
      </w:r>
      <w:proofErr w:type="spellEnd"/>
      <w:r w:rsidRPr="00337E3A">
        <w:rPr>
          <w:rFonts w:ascii="Georgia" w:hAnsi="Georgia"/>
        </w:rPr>
        <w:t xml:space="preserve"> nella relazione pubblicata il 24 febbraio 2017: </w:t>
      </w:r>
      <w:hyperlink r:id="rId7" w:history="1">
        <w:r w:rsidRPr="00337E3A">
          <w:rPr>
            <w:rStyle w:val="Collegamentoipertestuale"/>
            <w:rFonts w:ascii="Georgia" w:hAnsi="Georgia"/>
            <w:i/>
          </w:rPr>
          <w:t xml:space="preserve">The Price of </w:t>
        </w:r>
        <w:proofErr w:type="spellStart"/>
        <w:r w:rsidRPr="00337E3A">
          <w:rPr>
            <w:rStyle w:val="Collegamentoipertestuale"/>
            <w:rFonts w:ascii="Georgia" w:hAnsi="Georgia"/>
            <w:i/>
          </w:rPr>
          <w:t>Power</w:t>
        </w:r>
        <w:proofErr w:type="spellEnd"/>
        <w:r w:rsidRPr="00337E3A">
          <w:rPr>
            <w:rStyle w:val="Collegamentoipertestuale"/>
            <w:rFonts w:ascii="Georgia" w:hAnsi="Georgia"/>
            <w:i/>
          </w:rPr>
          <w:t xml:space="preserve">: </w:t>
        </w:r>
        <w:proofErr w:type="spellStart"/>
        <w:r w:rsidRPr="00337E3A">
          <w:rPr>
            <w:rStyle w:val="Collegamentoipertestuale"/>
            <w:rFonts w:ascii="Georgia" w:hAnsi="Georgia"/>
            <w:i/>
          </w:rPr>
          <w:t>Reforming</w:t>
        </w:r>
        <w:proofErr w:type="spellEnd"/>
        <w:r w:rsidRPr="00337E3A">
          <w:rPr>
            <w:rStyle w:val="Collegamentoipertestuale"/>
            <w:rFonts w:ascii="Georgia" w:hAnsi="Georgia"/>
            <w:i/>
          </w:rPr>
          <w:t xml:space="preserve"> the </w:t>
        </w:r>
        <w:proofErr w:type="spellStart"/>
        <w:r w:rsidRPr="00337E3A">
          <w:rPr>
            <w:rStyle w:val="Collegamentoipertestuale"/>
            <w:rFonts w:ascii="Georgia" w:hAnsi="Georgia"/>
            <w:i/>
          </w:rPr>
          <w:t>Electricity</w:t>
        </w:r>
        <w:proofErr w:type="spellEnd"/>
        <w:r w:rsidRPr="00337E3A">
          <w:rPr>
            <w:rStyle w:val="Collegamentoipertestuale"/>
            <w:rFonts w:ascii="Georgia" w:hAnsi="Georgia"/>
            <w:i/>
          </w:rPr>
          <w:t xml:space="preserve"> Market</w:t>
        </w:r>
      </w:hyperlink>
      <w:r w:rsidRPr="00337E3A">
        <w:rPr>
          <w:rFonts w:ascii="Georgia" w:hAnsi="Georgia"/>
        </w:rPr>
        <w:t>.</w:t>
      </w:r>
    </w:p>
  </w:footnote>
  <w:footnote w:id="10">
    <w:p w:rsidR="000222F3" w:rsidRPr="00337E3A" w:rsidRDefault="000222F3" w:rsidP="00337E3A">
      <w:pPr>
        <w:pStyle w:val="Testonotaapidipagina"/>
        <w:jc w:val="both"/>
        <w:rPr>
          <w:rFonts w:ascii="Georgia" w:hAnsi="Georgia"/>
        </w:rPr>
      </w:pPr>
      <w:r w:rsidRPr="00337E3A">
        <w:rPr>
          <w:rStyle w:val="Rimandonotaapidipagina"/>
          <w:rFonts w:ascii="Georgia" w:hAnsi="Georgia"/>
        </w:rPr>
        <w:footnoteRef/>
      </w:r>
      <w:r w:rsidRPr="00337E3A">
        <w:rPr>
          <w:rFonts w:ascii="Georgia" w:hAnsi="Georgia"/>
        </w:rPr>
        <w:t xml:space="preserve"> Alle implicazioni della </w:t>
      </w:r>
      <w:proofErr w:type="spellStart"/>
      <w:r w:rsidRPr="00337E3A">
        <w:rPr>
          <w:rFonts w:ascii="Georgia" w:hAnsi="Georgia"/>
          <w:i/>
        </w:rPr>
        <w:t>Brexit</w:t>
      </w:r>
      <w:proofErr w:type="spellEnd"/>
      <w:r w:rsidRPr="00337E3A">
        <w:rPr>
          <w:rFonts w:ascii="Georgia" w:hAnsi="Georgia"/>
        </w:rPr>
        <w:t xml:space="preserve"> sulle politiche ambientali è specificamente dedicata una relazione dello </w:t>
      </w:r>
      <w:proofErr w:type="spellStart"/>
      <w:r w:rsidRPr="00337E3A">
        <w:rPr>
          <w:rFonts w:ascii="Georgia" w:hAnsi="Georgia"/>
          <w:i/>
        </w:rPr>
        <w:t>European</w:t>
      </w:r>
      <w:proofErr w:type="spellEnd"/>
      <w:r w:rsidRPr="00337E3A">
        <w:rPr>
          <w:rFonts w:ascii="Georgia" w:hAnsi="Georgia"/>
          <w:i/>
        </w:rPr>
        <w:t xml:space="preserve"> Union </w:t>
      </w:r>
      <w:proofErr w:type="spellStart"/>
      <w:r w:rsidRPr="00337E3A">
        <w:rPr>
          <w:rFonts w:ascii="Georgia" w:hAnsi="Georgia"/>
          <w:i/>
        </w:rPr>
        <w:t>Committee</w:t>
      </w:r>
      <w:proofErr w:type="spellEnd"/>
      <w:r w:rsidRPr="00337E3A">
        <w:rPr>
          <w:rFonts w:ascii="Georgia" w:hAnsi="Georgia"/>
        </w:rPr>
        <w:t xml:space="preserve"> della House of </w:t>
      </w:r>
      <w:proofErr w:type="spellStart"/>
      <w:r w:rsidRPr="00337E3A">
        <w:rPr>
          <w:rFonts w:ascii="Georgia" w:hAnsi="Georgia"/>
        </w:rPr>
        <w:t>Lords</w:t>
      </w:r>
      <w:proofErr w:type="spellEnd"/>
      <w:r w:rsidRPr="00337E3A">
        <w:rPr>
          <w:rFonts w:ascii="Georgia" w:hAnsi="Georgia"/>
        </w:rPr>
        <w:t xml:space="preserve">: </w:t>
      </w:r>
      <w:hyperlink r:id="rId8" w:history="1">
        <w:proofErr w:type="spellStart"/>
        <w:r w:rsidRPr="00337E3A">
          <w:rPr>
            <w:rStyle w:val="Collegamentoipertestuale"/>
            <w:rFonts w:ascii="Georgia" w:hAnsi="Georgia"/>
            <w:i/>
          </w:rPr>
          <w:t>Brexit</w:t>
        </w:r>
        <w:proofErr w:type="spellEnd"/>
        <w:r w:rsidRPr="00337E3A">
          <w:rPr>
            <w:rStyle w:val="Collegamentoipertestuale"/>
            <w:rFonts w:ascii="Georgia" w:hAnsi="Georgia"/>
            <w:i/>
          </w:rPr>
          <w:t xml:space="preserve">: </w:t>
        </w:r>
        <w:proofErr w:type="spellStart"/>
        <w:r w:rsidRPr="00337E3A">
          <w:rPr>
            <w:rStyle w:val="Collegamentoipertestuale"/>
            <w:rFonts w:ascii="Georgia" w:hAnsi="Georgia"/>
            <w:i/>
          </w:rPr>
          <w:t>environment</w:t>
        </w:r>
        <w:proofErr w:type="spellEnd"/>
        <w:r w:rsidRPr="00337E3A">
          <w:rPr>
            <w:rStyle w:val="Collegamentoipertestuale"/>
            <w:rFonts w:ascii="Georgia" w:hAnsi="Georgia"/>
            <w:i/>
          </w:rPr>
          <w:t xml:space="preserve"> and </w:t>
        </w:r>
        <w:proofErr w:type="spellStart"/>
        <w:r w:rsidRPr="00337E3A">
          <w:rPr>
            <w:rStyle w:val="Collegamentoipertestuale"/>
            <w:rFonts w:ascii="Georgia" w:hAnsi="Georgia"/>
            <w:i/>
          </w:rPr>
          <w:t>climate</w:t>
        </w:r>
        <w:proofErr w:type="spellEnd"/>
        <w:r w:rsidRPr="00337E3A">
          <w:rPr>
            <w:rStyle w:val="Collegamentoipertestuale"/>
            <w:rFonts w:ascii="Georgia" w:hAnsi="Georgia"/>
            <w:i/>
          </w:rPr>
          <w:t xml:space="preserve"> </w:t>
        </w:r>
        <w:proofErr w:type="spellStart"/>
        <w:r w:rsidRPr="00337E3A">
          <w:rPr>
            <w:rStyle w:val="Collegamentoipertestuale"/>
            <w:rFonts w:ascii="Georgia" w:hAnsi="Georgia"/>
            <w:i/>
          </w:rPr>
          <w:t>change</w:t>
        </w:r>
        <w:proofErr w:type="spellEnd"/>
      </w:hyperlink>
      <w:r w:rsidRPr="00337E3A">
        <w:rPr>
          <w:rFonts w:ascii="Georgia" w:hAnsi="Georgia"/>
        </w:rPr>
        <w:t>, del 17 febbraio 2017.</w:t>
      </w:r>
    </w:p>
  </w:footnote>
  <w:footnote w:id="11">
    <w:p w:rsidR="000222F3" w:rsidRPr="00BA3DD7" w:rsidRDefault="000222F3">
      <w:pPr>
        <w:pStyle w:val="Testonotaapidipagina"/>
        <w:rPr>
          <w:rFonts w:ascii="Georgia" w:hAnsi="Georgia"/>
        </w:rPr>
      </w:pPr>
      <w:r w:rsidRPr="00BA3DD7">
        <w:rPr>
          <w:rStyle w:val="Rimandonotaapidipagina"/>
          <w:rFonts w:ascii="Georgia" w:hAnsi="Georgia"/>
        </w:rPr>
        <w:footnoteRef/>
      </w:r>
      <w:r w:rsidRPr="00BA3DD7">
        <w:rPr>
          <w:rFonts w:ascii="Georgia" w:hAnsi="Georgia"/>
        </w:rPr>
        <w:t xml:space="preserve"> Si tratta del secondo piano d’azione in materia</w:t>
      </w:r>
      <w:r>
        <w:rPr>
          <w:rFonts w:ascii="Georgia" w:hAnsi="Georgia"/>
        </w:rPr>
        <w:t>;</w:t>
      </w:r>
      <w:r w:rsidRPr="00BA3DD7">
        <w:rPr>
          <w:rFonts w:ascii="Georgia" w:hAnsi="Georgia"/>
        </w:rPr>
        <w:t xml:space="preserve"> il primo </w:t>
      </w:r>
      <w:r>
        <w:rPr>
          <w:rFonts w:ascii="Georgia" w:hAnsi="Georgia"/>
        </w:rPr>
        <w:t xml:space="preserve">– relativo al periodo 2008-2012 - </w:t>
      </w:r>
      <w:r w:rsidRPr="00BA3DD7">
        <w:rPr>
          <w:rFonts w:ascii="Georgia" w:hAnsi="Georgia"/>
        </w:rPr>
        <w:t xml:space="preserve">era stato </w:t>
      </w:r>
      <w:r>
        <w:rPr>
          <w:rFonts w:ascii="Georgia" w:hAnsi="Georgia"/>
        </w:rPr>
        <w:t>approvato il 20 luglio 2007.</w:t>
      </w:r>
    </w:p>
  </w:footnote>
  <w:footnote w:id="12">
    <w:p w:rsidR="000222F3" w:rsidRPr="00337E3A" w:rsidRDefault="000222F3" w:rsidP="00337E3A">
      <w:pPr>
        <w:pStyle w:val="Testonotaapidipagina"/>
        <w:jc w:val="both"/>
        <w:rPr>
          <w:rFonts w:ascii="Georgia" w:hAnsi="Georgia"/>
        </w:rPr>
      </w:pPr>
      <w:r w:rsidRPr="00337E3A">
        <w:rPr>
          <w:rStyle w:val="Rimandonotaapidipagina"/>
          <w:rFonts w:ascii="Georgia" w:hAnsi="Georgia"/>
        </w:rPr>
        <w:footnoteRef/>
      </w:r>
      <w:r w:rsidRPr="00337E3A">
        <w:rPr>
          <w:rFonts w:ascii="Georgia" w:hAnsi="Georgia"/>
        </w:rPr>
        <w:t xml:space="preserve"> L’IDAE è un organismo ascritto al Ministero dell’energia, turismo e agenda digitale, mediante la Segreteria di Stato dell’energia.</w:t>
      </w:r>
    </w:p>
  </w:footnote>
  <w:footnote w:id="13">
    <w:p w:rsidR="000222F3" w:rsidRPr="00337E3A" w:rsidRDefault="000222F3" w:rsidP="00337E3A">
      <w:pPr>
        <w:pStyle w:val="Testonotaapidipagina"/>
        <w:jc w:val="both"/>
        <w:rPr>
          <w:rFonts w:ascii="Georgia" w:hAnsi="Georgia"/>
        </w:rPr>
      </w:pPr>
      <w:r w:rsidRPr="00337E3A">
        <w:rPr>
          <w:rStyle w:val="Rimandonotaapidipagina"/>
          <w:rFonts w:ascii="Georgia" w:hAnsi="Georgia"/>
        </w:rPr>
        <w:footnoteRef/>
      </w:r>
      <w:r w:rsidRPr="00337E3A">
        <w:rPr>
          <w:rFonts w:ascii="Georgia" w:hAnsi="Georgia"/>
        </w:rPr>
        <w:t xml:space="preserve"> L’art. 2 della legge definisce l’economia sostenibile come un modello di crescita che concili lo sviluppo economico, sociale e ambientale in un’economia produttiva e competitiva, che favorisca occupazione di qualità, pari opportunità e coesione sociale, e che garantisca il rispetto per l’ambiente e l’uso razionale delle risorse naturali, in modo da soddisfare i bisogni delle generazioni presenti senza compromettere le possibilità delle generazioni future di soddisfare i propri bisogni.</w:t>
      </w:r>
    </w:p>
  </w:footnote>
  <w:footnote w:id="14">
    <w:p w:rsidR="000222F3" w:rsidRPr="00337E3A" w:rsidRDefault="000222F3" w:rsidP="00337E3A">
      <w:pPr>
        <w:pStyle w:val="Testonotaapidipagina"/>
        <w:jc w:val="both"/>
        <w:rPr>
          <w:rFonts w:ascii="Georgia" w:hAnsi="Georgia"/>
        </w:rPr>
      </w:pPr>
      <w:r w:rsidRPr="00337E3A">
        <w:rPr>
          <w:rStyle w:val="Rimandonotaapidipagina"/>
          <w:rFonts w:ascii="Georgia" w:hAnsi="Georgia"/>
        </w:rPr>
        <w:footnoteRef/>
      </w:r>
      <w:r w:rsidRPr="00337E3A">
        <w:rPr>
          <w:rFonts w:ascii="Georgia" w:hAnsi="Georgia"/>
        </w:rPr>
        <w:t xml:space="preserve"> Dal dicembre 2011 Ministero dell’industria, energia e turismo, quindi dal 2016 Ministero dell’energia, turismo e agenda digitale.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605"/>
    <w:multiLevelType w:val="multilevel"/>
    <w:tmpl w:val="4BD2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B4807"/>
    <w:multiLevelType w:val="hybridMultilevel"/>
    <w:tmpl w:val="88E8CE02"/>
    <w:lvl w:ilvl="0" w:tplc="7EE0EE3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138C148D"/>
    <w:multiLevelType w:val="multilevel"/>
    <w:tmpl w:val="10226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A41A91"/>
    <w:multiLevelType w:val="hybridMultilevel"/>
    <w:tmpl w:val="AE04526C"/>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nsid w:val="21E802B5"/>
    <w:multiLevelType w:val="hybridMultilevel"/>
    <w:tmpl w:val="0CC09ADE"/>
    <w:lvl w:ilvl="0" w:tplc="32AE9B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DA437E"/>
    <w:multiLevelType w:val="hybridMultilevel"/>
    <w:tmpl w:val="1A74364A"/>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6">
    <w:nsid w:val="2A0B2832"/>
    <w:multiLevelType w:val="hybridMultilevel"/>
    <w:tmpl w:val="631C7EE4"/>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7">
    <w:nsid w:val="2B9B1D53"/>
    <w:multiLevelType w:val="multilevel"/>
    <w:tmpl w:val="63CCE6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25349C"/>
    <w:multiLevelType w:val="hybridMultilevel"/>
    <w:tmpl w:val="2258D07E"/>
    <w:lvl w:ilvl="0" w:tplc="04100001">
      <w:start w:val="1"/>
      <w:numFmt w:val="bullet"/>
      <w:lvlText w:val=""/>
      <w:lvlJc w:val="left"/>
      <w:pPr>
        <w:ind w:left="957" w:hanging="60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9">
    <w:nsid w:val="318F74E3"/>
    <w:multiLevelType w:val="hybridMultilevel"/>
    <w:tmpl w:val="FF3AF0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35DE4E9C"/>
    <w:multiLevelType w:val="hybridMultilevel"/>
    <w:tmpl w:val="EF8EE2A6"/>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371311B0"/>
    <w:multiLevelType w:val="hybridMultilevel"/>
    <w:tmpl w:val="35B4BD02"/>
    <w:lvl w:ilvl="0" w:tplc="D1067208">
      <w:numFmt w:val="bullet"/>
      <w:lvlText w:val="–"/>
      <w:lvlJc w:val="left"/>
      <w:pPr>
        <w:ind w:left="957" w:hanging="600"/>
      </w:pPr>
      <w:rPr>
        <w:rFonts w:ascii="Georgia" w:eastAsia="Times New Roman" w:hAnsi="Georgia"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2">
    <w:nsid w:val="3C2772C7"/>
    <w:multiLevelType w:val="hybridMultilevel"/>
    <w:tmpl w:val="1A0A6204"/>
    <w:lvl w:ilvl="0" w:tplc="04100017">
      <w:start w:val="1"/>
      <w:numFmt w:val="lowerLetter"/>
      <w:lvlText w:val="%1)"/>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3">
    <w:nsid w:val="42B67284"/>
    <w:multiLevelType w:val="multilevel"/>
    <w:tmpl w:val="0098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6246B5"/>
    <w:multiLevelType w:val="hybridMultilevel"/>
    <w:tmpl w:val="93883ED2"/>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5">
    <w:nsid w:val="44E71AC5"/>
    <w:multiLevelType w:val="multilevel"/>
    <w:tmpl w:val="3EE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F7341F"/>
    <w:multiLevelType w:val="hybridMultilevel"/>
    <w:tmpl w:val="902C6F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8674050"/>
    <w:multiLevelType w:val="hybridMultilevel"/>
    <w:tmpl w:val="FB9AF29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8">
    <w:nsid w:val="593475BA"/>
    <w:multiLevelType w:val="hybridMultilevel"/>
    <w:tmpl w:val="DFC0591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68781348"/>
    <w:multiLevelType w:val="hybridMultilevel"/>
    <w:tmpl w:val="82FA0F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2F20940"/>
    <w:multiLevelType w:val="hybridMultilevel"/>
    <w:tmpl w:val="375402D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1">
    <w:nsid w:val="75C26D9A"/>
    <w:multiLevelType w:val="hybridMultilevel"/>
    <w:tmpl w:val="18C80BF6"/>
    <w:lvl w:ilvl="0" w:tplc="3708BA6A">
      <w:start w:val="1"/>
      <w:numFmt w:val="decimal"/>
      <w:lvlText w:val="%1."/>
      <w:lvlJc w:val="left"/>
      <w:pPr>
        <w:ind w:left="10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FBA4B78"/>
    <w:multiLevelType w:val="hybridMultilevel"/>
    <w:tmpl w:val="FF0C3CBC"/>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abstractNumId w:val="5"/>
  </w:num>
  <w:num w:numId="2">
    <w:abstractNumId w:val="12"/>
  </w:num>
  <w:num w:numId="3">
    <w:abstractNumId w:val="22"/>
  </w:num>
  <w:num w:numId="4">
    <w:abstractNumId w:val="21"/>
  </w:num>
  <w:num w:numId="5">
    <w:abstractNumId w:val="19"/>
  </w:num>
  <w:num w:numId="6">
    <w:abstractNumId w:val="1"/>
  </w:num>
  <w:num w:numId="7">
    <w:abstractNumId w:val="16"/>
  </w:num>
  <w:num w:numId="8">
    <w:abstractNumId w:val="4"/>
  </w:num>
  <w:num w:numId="9">
    <w:abstractNumId w:val="0"/>
  </w:num>
  <w:num w:numId="10">
    <w:abstractNumId w:val="15"/>
  </w:num>
  <w:num w:numId="11">
    <w:abstractNumId w:val="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3"/>
  </w:num>
  <w:num w:numId="16">
    <w:abstractNumId w:val="10"/>
  </w:num>
  <w:num w:numId="17">
    <w:abstractNumId w:val="17"/>
  </w:num>
  <w:num w:numId="18">
    <w:abstractNumId w:val="6"/>
  </w:num>
  <w:num w:numId="19">
    <w:abstractNumId w:val="20"/>
  </w:num>
  <w:num w:numId="20">
    <w:abstractNumId w:val="11"/>
  </w:num>
  <w:num w:numId="21">
    <w:abstractNumId w:val="8"/>
  </w:num>
  <w:num w:numId="22">
    <w:abstractNumId w:val="9"/>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16"/>
    <w:rsid w:val="00000100"/>
    <w:rsid w:val="00000687"/>
    <w:rsid w:val="0000129B"/>
    <w:rsid w:val="000016B4"/>
    <w:rsid w:val="00002210"/>
    <w:rsid w:val="0000223C"/>
    <w:rsid w:val="000023F0"/>
    <w:rsid w:val="000027B3"/>
    <w:rsid w:val="00002D2E"/>
    <w:rsid w:val="000036D7"/>
    <w:rsid w:val="00003830"/>
    <w:rsid w:val="00003896"/>
    <w:rsid w:val="00004267"/>
    <w:rsid w:val="0000477E"/>
    <w:rsid w:val="000049B3"/>
    <w:rsid w:val="000049DB"/>
    <w:rsid w:val="000049FA"/>
    <w:rsid w:val="00005F5A"/>
    <w:rsid w:val="000064D2"/>
    <w:rsid w:val="0000655D"/>
    <w:rsid w:val="000066BA"/>
    <w:rsid w:val="00006A33"/>
    <w:rsid w:val="00007A03"/>
    <w:rsid w:val="00007A35"/>
    <w:rsid w:val="00007BE0"/>
    <w:rsid w:val="00007E9D"/>
    <w:rsid w:val="000105BA"/>
    <w:rsid w:val="00010A65"/>
    <w:rsid w:val="00010F52"/>
    <w:rsid w:val="0001106E"/>
    <w:rsid w:val="00011FBA"/>
    <w:rsid w:val="00012270"/>
    <w:rsid w:val="0001281E"/>
    <w:rsid w:val="00012D4C"/>
    <w:rsid w:val="000131A8"/>
    <w:rsid w:val="00013579"/>
    <w:rsid w:val="00013A48"/>
    <w:rsid w:val="0001410A"/>
    <w:rsid w:val="00014287"/>
    <w:rsid w:val="00015016"/>
    <w:rsid w:val="000155DF"/>
    <w:rsid w:val="00015AE1"/>
    <w:rsid w:val="0001682B"/>
    <w:rsid w:val="00016AD7"/>
    <w:rsid w:val="00016D0D"/>
    <w:rsid w:val="00016DF4"/>
    <w:rsid w:val="00016EF6"/>
    <w:rsid w:val="000170C2"/>
    <w:rsid w:val="000174B2"/>
    <w:rsid w:val="00017696"/>
    <w:rsid w:val="00017C0C"/>
    <w:rsid w:val="00020651"/>
    <w:rsid w:val="00020B0A"/>
    <w:rsid w:val="000221FA"/>
    <w:rsid w:val="00022232"/>
    <w:rsid w:val="000222F3"/>
    <w:rsid w:val="000226EB"/>
    <w:rsid w:val="00022847"/>
    <w:rsid w:val="00022F4F"/>
    <w:rsid w:val="0002370B"/>
    <w:rsid w:val="00023A19"/>
    <w:rsid w:val="00024535"/>
    <w:rsid w:val="000248EC"/>
    <w:rsid w:val="0002494A"/>
    <w:rsid w:val="00024A13"/>
    <w:rsid w:val="00024DD6"/>
    <w:rsid w:val="00025032"/>
    <w:rsid w:val="000250E7"/>
    <w:rsid w:val="0002524C"/>
    <w:rsid w:val="000255D9"/>
    <w:rsid w:val="00025B67"/>
    <w:rsid w:val="00025F84"/>
    <w:rsid w:val="00026956"/>
    <w:rsid w:val="000269D1"/>
    <w:rsid w:val="00026FDC"/>
    <w:rsid w:val="00027184"/>
    <w:rsid w:val="000271C5"/>
    <w:rsid w:val="00027C67"/>
    <w:rsid w:val="00027D39"/>
    <w:rsid w:val="00027FA6"/>
    <w:rsid w:val="00030003"/>
    <w:rsid w:val="00030F72"/>
    <w:rsid w:val="00031A13"/>
    <w:rsid w:val="000321EB"/>
    <w:rsid w:val="0003224B"/>
    <w:rsid w:val="0003280A"/>
    <w:rsid w:val="00032BFC"/>
    <w:rsid w:val="00033670"/>
    <w:rsid w:val="00033CDB"/>
    <w:rsid w:val="00033E29"/>
    <w:rsid w:val="00033E74"/>
    <w:rsid w:val="000342CB"/>
    <w:rsid w:val="00034B82"/>
    <w:rsid w:val="00034BCB"/>
    <w:rsid w:val="000350A1"/>
    <w:rsid w:val="0003589F"/>
    <w:rsid w:val="00036D6D"/>
    <w:rsid w:val="00036E46"/>
    <w:rsid w:val="00036E96"/>
    <w:rsid w:val="00036F81"/>
    <w:rsid w:val="00037170"/>
    <w:rsid w:val="000374B7"/>
    <w:rsid w:val="00037EBA"/>
    <w:rsid w:val="00040BCA"/>
    <w:rsid w:val="000414AF"/>
    <w:rsid w:val="000416E8"/>
    <w:rsid w:val="000419DF"/>
    <w:rsid w:val="00041B07"/>
    <w:rsid w:val="00041B31"/>
    <w:rsid w:val="00041B87"/>
    <w:rsid w:val="000440E0"/>
    <w:rsid w:val="00044180"/>
    <w:rsid w:val="0004444E"/>
    <w:rsid w:val="00044452"/>
    <w:rsid w:val="00044B91"/>
    <w:rsid w:val="00044FC8"/>
    <w:rsid w:val="000452B4"/>
    <w:rsid w:val="000456D8"/>
    <w:rsid w:val="00046511"/>
    <w:rsid w:val="00046A7E"/>
    <w:rsid w:val="00046A7F"/>
    <w:rsid w:val="00047C81"/>
    <w:rsid w:val="00047D05"/>
    <w:rsid w:val="00047DFF"/>
    <w:rsid w:val="00050809"/>
    <w:rsid w:val="00050843"/>
    <w:rsid w:val="0005138E"/>
    <w:rsid w:val="000514EE"/>
    <w:rsid w:val="0005150D"/>
    <w:rsid w:val="000517A0"/>
    <w:rsid w:val="0005283B"/>
    <w:rsid w:val="00052D99"/>
    <w:rsid w:val="00052E7F"/>
    <w:rsid w:val="00052E88"/>
    <w:rsid w:val="000538AE"/>
    <w:rsid w:val="00053992"/>
    <w:rsid w:val="0005492F"/>
    <w:rsid w:val="00055511"/>
    <w:rsid w:val="00056443"/>
    <w:rsid w:val="000567A6"/>
    <w:rsid w:val="00056B2C"/>
    <w:rsid w:val="00056C3D"/>
    <w:rsid w:val="0005709A"/>
    <w:rsid w:val="000571E6"/>
    <w:rsid w:val="00057529"/>
    <w:rsid w:val="000578D1"/>
    <w:rsid w:val="000579BB"/>
    <w:rsid w:val="000608D2"/>
    <w:rsid w:val="000608FD"/>
    <w:rsid w:val="00060CCA"/>
    <w:rsid w:val="00061222"/>
    <w:rsid w:val="00062B61"/>
    <w:rsid w:val="00062BA1"/>
    <w:rsid w:val="00062CD9"/>
    <w:rsid w:val="00063181"/>
    <w:rsid w:val="00063400"/>
    <w:rsid w:val="000634E7"/>
    <w:rsid w:val="00063BFB"/>
    <w:rsid w:val="00064264"/>
    <w:rsid w:val="0006450A"/>
    <w:rsid w:val="00064D08"/>
    <w:rsid w:val="0006507B"/>
    <w:rsid w:val="000653AC"/>
    <w:rsid w:val="00065598"/>
    <w:rsid w:val="00065632"/>
    <w:rsid w:val="000657CD"/>
    <w:rsid w:val="00065811"/>
    <w:rsid w:val="00065B12"/>
    <w:rsid w:val="000667D7"/>
    <w:rsid w:val="00066A20"/>
    <w:rsid w:val="0006716C"/>
    <w:rsid w:val="00067181"/>
    <w:rsid w:val="00067FE4"/>
    <w:rsid w:val="00070E4C"/>
    <w:rsid w:val="000712F4"/>
    <w:rsid w:val="00071A36"/>
    <w:rsid w:val="00071C2A"/>
    <w:rsid w:val="00071C7B"/>
    <w:rsid w:val="0007311A"/>
    <w:rsid w:val="0007368D"/>
    <w:rsid w:val="00073F65"/>
    <w:rsid w:val="0007415E"/>
    <w:rsid w:val="00074839"/>
    <w:rsid w:val="000748EF"/>
    <w:rsid w:val="000749C3"/>
    <w:rsid w:val="00074E88"/>
    <w:rsid w:val="000759D5"/>
    <w:rsid w:val="00075CE1"/>
    <w:rsid w:val="00076284"/>
    <w:rsid w:val="00076A36"/>
    <w:rsid w:val="00076DB5"/>
    <w:rsid w:val="00076FF0"/>
    <w:rsid w:val="000776D0"/>
    <w:rsid w:val="00077747"/>
    <w:rsid w:val="00077BD0"/>
    <w:rsid w:val="00080166"/>
    <w:rsid w:val="00080521"/>
    <w:rsid w:val="00080563"/>
    <w:rsid w:val="0008074A"/>
    <w:rsid w:val="00080D4B"/>
    <w:rsid w:val="00080FEF"/>
    <w:rsid w:val="000818A6"/>
    <w:rsid w:val="00081C10"/>
    <w:rsid w:val="00081E2C"/>
    <w:rsid w:val="00082273"/>
    <w:rsid w:val="0008295B"/>
    <w:rsid w:val="00082B91"/>
    <w:rsid w:val="00082EB2"/>
    <w:rsid w:val="00082F29"/>
    <w:rsid w:val="0008306A"/>
    <w:rsid w:val="0008329C"/>
    <w:rsid w:val="00083DB8"/>
    <w:rsid w:val="00083F84"/>
    <w:rsid w:val="00083FBC"/>
    <w:rsid w:val="00084097"/>
    <w:rsid w:val="00084632"/>
    <w:rsid w:val="0008524E"/>
    <w:rsid w:val="000852C1"/>
    <w:rsid w:val="0008588B"/>
    <w:rsid w:val="000859BE"/>
    <w:rsid w:val="00086192"/>
    <w:rsid w:val="000874B3"/>
    <w:rsid w:val="00087E36"/>
    <w:rsid w:val="00087EBC"/>
    <w:rsid w:val="00090454"/>
    <w:rsid w:val="000906DC"/>
    <w:rsid w:val="0009072E"/>
    <w:rsid w:val="00090796"/>
    <w:rsid w:val="00090867"/>
    <w:rsid w:val="00090F8E"/>
    <w:rsid w:val="0009108A"/>
    <w:rsid w:val="00092BEF"/>
    <w:rsid w:val="00093035"/>
    <w:rsid w:val="00093BCA"/>
    <w:rsid w:val="000944F8"/>
    <w:rsid w:val="000946C9"/>
    <w:rsid w:val="00094D3F"/>
    <w:rsid w:val="00095298"/>
    <w:rsid w:val="000953B1"/>
    <w:rsid w:val="000961BD"/>
    <w:rsid w:val="00096460"/>
    <w:rsid w:val="00096DBE"/>
    <w:rsid w:val="00097081"/>
    <w:rsid w:val="00097141"/>
    <w:rsid w:val="00097726"/>
    <w:rsid w:val="00097873"/>
    <w:rsid w:val="00097F0E"/>
    <w:rsid w:val="00097F1C"/>
    <w:rsid w:val="000A0402"/>
    <w:rsid w:val="000A059F"/>
    <w:rsid w:val="000A0660"/>
    <w:rsid w:val="000A0A15"/>
    <w:rsid w:val="000A0A67"/>
    <w:rsid w:val="000A0C97"/>
    <w:rsid w:val="000A0EC1"/>
    <w:rsid w:val="000A184F"/>
    <w:rsid w:val="000A1AE3"/>
    <w:rsid w:val="000A1FDF"/>
    <w:rsid w:val="000A1FE0"/>
    <w:rsid w:val="000A206F"/>
    <w:rsid w:val="000A2208"/>
    <w:rsid w:val="000A222D"/>
    <w:rsid w:val="000A2264"/>
    <w:rsid w:val="000A23B1"/>
    <w:rsid w:val="000A2A0D"/>
    <w:rsid w:val="000A2B4D"/>
    <w:rsid w:val="000A2BDA"/>
    <w:rsid w:val="000A2E1C"/>
    <w:rsid w:val="000A2E6B"/>
    <w:rsid w:val="000A2EEB"/>
    <w:rsid w:val="000A329E"/>
    <w:rsid w:val="000A36D3"/>
    <w:rsid w:val="000A36F8"/>
    <w:rsid w:val="000A3CAF"/>
    <w:rsid w:val="000A3E9A"/>
    <w:rsid w:val="000A4886"/>
    <w:rsid w:val="000A4943"/>
    <w:rsid w:val="000A4C0D"/>
    <w:rsid w:val="000A54FB"/>
    <w:rsid w:val="000A5574"/>
    <w:rsid w:val="000A560D"/>
    <w:rsid w:val="000A5859"/>
    <w:rsid w:val="000A5947"/>
    <w:rsid w:val="000A63CE"/>
    <w:rsid w:val="000A65F5"/>
    <w:rsid w:val="000A6826"/>
    <w:rsid w:val="000A6924"/>
    <w:rsid w:val="000A6B0A"/>
    <w:rsid w:val="000A75F9"/>
    <w:rsid w:val="000A77EF"/>
    <w:rsid w:val="000B09FA"/>
    <w:rsid w:val="000B1319"/>
    <w:rsid w:val="000B162A"/>
    <w:rsid w:val="000B210D"/>
    <w:rsid w:val="000B2FC5"/>
    <w:rsid w:val="000B39BC"/>
    <w:rsid w:val="000B39E2"/>
    <w:rsid w:val="000B40E6"/>
    <w:rsid w:val="000B4A85"/>
    <w:rsid w:val="000B4C66"/>
    <w:rsid w:val="000B5003"/>
    <w:rsid w:val="000B505C"/>
    <w:rsid w:val="000B5636"/>
    <w:rsid w:val="000B587A"/>
    <w:rsid w:val="000B5B58"/>
    <w:rsid w:val="000B6DDE"/>
    <w:rsid w:val="000B6E7F"/>
    <w:rsid w:val="000B786F"/>
    <w:rsid w:val="000C02E3"/>
    <w:rsid w:val="000C095C"/>
    <w:rsid w:val="000C0981"/>
    <w:rsid w:val="000C0B9F"/>
    <w:rsid w:val="000C138E"/>
    <w:rsid w:val="000C1742"/>
    <w:rsid w:val="000C18BC"/>
    <w:rsid w:val="000C1CC5"/>
    <w:rsid w:val="000C1E0D"/>
    <w:rsid w:val="000C222B"/>
    <w:rsid w:val="000C29EA"/>
    <w:rsid w:val="000C3791"/>
    <w:rsid w:val="000C3D0F"/>
    <w:rsid w:val="000C4A0F"/>
    <w:rsid w:val="000C4A33"/>
    <w:rsid w:val="000C4E25"/>
    <w:rsid w:val="000C56D8"/>
    <w:rsid w:val="000C5C45"/>
    <w:rsid w:val="000C5D87"/>
    <w:rsid w:val="000C5DAA"/>
    <w:rsid w:val="000C60C6"/>
    <w:rsid w:val="000C6742"/>
    <w:rsid w:val="000C676E"/>
    <w:rsid w:val="000C6C34"/>
    <w:rsid w:val="000C6D22"/>
    <w:rsid w:val="000C6DA8"/>
    <w:rsid w:val="000C77EE"/>
    <w:rsid w:val="000C7C6C"/>
    <w:rsid w:val="000C7D33"/>
    <w:rsid w:val="000C7D95"/>
    <w:rsid w:val="000D01ED"/>
    <w:rsid w:val="000D05F7"/>
    <w:rsid w:val="000D0B7F"/>
    <w:rsid w:val="000D18D9"/>
    <w:rsid w:val="000D1974"/>
    <w:rsid w:val="000D19E2"/>
    <w:rsid w:val="000D1B63"/>
    <w:rsid w:val="000D1D11"/>
    <w:rsid w:val="000D1FAB"/>
    <w:rsid w:val="000D1FB1"/>
    <w:rsid w:val="000D21A5"/>
    <w:rsid w:val="000D225C"/>
    <w:rsid w:val="000D2E70"/>
    <w:rsid w:val="000D32C7"/>
    <w:rsid w:val="000D3981"/>
    <w:rsid w:val="000D3AC6"/>
    <w:rsid w:val="000D470C"/>
    <w:rsid w:val="000D4881"/>
    <w:rsid w:val="000D55BC"/>
    <w:rsid w:val="000D5D83"/>
    <w:rsid w:val="000D5E42"/>
    <w:rsid w:val="000D5EA3"/>
    <w:rsid w:val="000D64B3"/>
    <w:rsid w:val="000D731B"/>
    <w:rsid w:val="000D7845"/>
    <w:rsid w:val="000E0AFF"/>
    <w:rsid w:val="000E0B88"/>
    <w:rsid w:val="000E0D90"/>
    <w:rsid w:val="000E1083"/>
    <w:rsid w:val="000E1198"/>
    <w:rsid w:val="000E14EC"/>
    <w:rsid w:val="000E1C58"/>
    <w:rsid w:val="000E2032"/>
    <w:rsid w:val="000E21BE"/>
    <w:rsid w:val="000E2264"/>
    <w:rsid w:val="000E2462"/>
    <w:rsid w:val="000E3305"/>
    <w:rsid w:val="000E3814"/>
    <w:rsid w:val="000E3FCA"/>
    <w:rsid w:val="000E403B"/>
    <w:rsid w:val="000E4083"/>
    <w:rsid w:val="000E41CA"/>
    <w:rsid w:val="000E47E4"/>
    <w:rsid w:val="000E4CB6"/>
    <w:rsid w:val="000E54AB"/>
    <w:rsid w:val="000E5A0A"/>
    <w:rsid w:val="000E5DAC"/>
    <w:rsid w:val="000E633A"/>
    <w:rsid w:val="000E63D2"/>
    <w:rsid w:val="000E6774"/>
    <w:rsid w:val="000E6F6D"/>
    <w:rsid w:val="000E7BD6"/>
    <w:rsid w:val="000F009D"/>
    <w:rsid w:val="000F07F2"/>
    <w:rsid w:val="000F0AAF"/>
    <w:rsid w:val="000F0DBD"/>
    <w:rsid w:val="000F19D7"/>
    <w:rsid w:val="000F1BD1"/>
    <w:rsid w:val="000F1E51"/>
    <w:rsid w:val="000F1F18"/>
    <w:rsid w:val="000F26F2"/>
    <w:rsid w:val="000F2BC1"/>
    <w:rsid w:val="000F3158"/>
    <w:rsid w:val="000F34AA"/>
    <w:rsid w:val="000F39BB"/>
    <w:rsid w:val="000F3B6E"/>
    <w:rsid w:val="000F3EE8"/>
    <w:rsid w:val="000F3FFE"/>
    <w:rsid w:val="000F419C"/>
    <w:rsid w:val="000F4420"/>
    <w:rsid w:val="000F45D6"/>
    <w:rsid w:val="000F4BD5"/>
    <w:rsid w:val="000F5276"/>
    <w:rsid w:val="000F5A14"/>
    <w:rsid w:val="000F5C32"/>
    <w:rsid w:val="000F5D8D"/>
    <w:rsid w:val="000F62B9"/>
    <w:rsid w:val="000F65BA"/>
    <w:rsid w:val="000F6B49"/>
    <w:rsid w:val="000F6CC6"/>
    <w:rsid w:val="000F6CEE"/>
    <w:rsid w:val="000F6EAA"/>
    <w:rsid w:val="000F7054"/>
    <w:rsid w:val="000F70D3"/>
    <w:rsid w:val="000F75B4"/>
    <w:rsid w:val="000F7A01"/>
    <w:rsid w:val="00100124"/>
    <w:rsid w:val="00100270"/>
    <w:rsid w:val="001004AA"/>
    <w:rsid w:val="00100503"/>
    <w:rsid w:val="00100763"/>
    <w:rsid w:val="00100804"/>
    <w:rsid w:val="00100C17"/>
    <w:rsid w:val="00100C61"/>
    <w:rsid w:val="00101276"/>
    <w:rsid w:val="001021D5"/>
    <w:rsid w:val="0010306E"/>
    <w:rsid w:val="001031EB"/>
    <w:rsid w:val="001035F7"/>
    <w:rsid w:val="00103A32"/>
    <w:rsid w:val="001040D9"/>
    <w:rsid w:val="001040E0"/>
    <w:rsid w:val="00104469"/>
    <w:rsid w:val="00104BCE"/>
    <w:rsid w:val="001055EF"/>
    <w:rsid w:val="00105E9E"/>
    <w:rsid w:val="00106143"/>
    <w:rsid w:val="00106602"/>
    <w:rsid w:val="001066A1"/>
    <w:rsid w:val="00106CC8"/>
    <w:rsid w:val="0010744D"/>
    <w:rsid w:val="00107547"/>
    <w:rsid w:val="001078FE"/>
    <w:rsid w:val="00107A5E"/>
    <w:rsid w:val="00107E87"/>
    <w:rsid w:val="0011005F"/>
    <w:rsid w:val="00111480"/>
    <w:rsid w:val="0011250A"/>
    <w:rsid w:val="0011263E"/>
    <w:rsid w:val="001128F0"/>
    <w:rsid w:val="00112A5A"/>
    <w:rsid w:val="00112C11"/>
    <w:rsid w:val="00112E3B"/>
    <w:rsid w:val="001130A8"/>
    <w:rsid w:val="00113836"/>
    <w:rsid w:val="00113F30"/>
    <w:rsid w:val="00114370"/>
    <w:rsid w:val="00115196"/>
    <w:rsid w:val="0011521C"/>
    <w:rsid w:val="001154C4"/>
    <w:rsid w:val="00115840"/>
    <w:rsid w:val="00116F5B"/>
    <w:rsid w:val="00117749"/>
    <w:rsid w:val="00117983"/>
    <w:rsid w:val="00117C55"/>
    <w:rsid w:val="00120CA5"/>
    <w:rsid w:val="001219C4"/>
    <w:rsid w:val="00121FBC"/>
    <w:rsid w:val="00122180"/>
    <w:rsid w:val="0012224E"/>
    <w:rsid w:val="00122290"/>
    <w:rsid w:val="00122ABD"/>
    <w:rsid w:val="00123100"/>
    <w:rsid w:val="001237C0"/>
    <w:rsid w:val="00123AFA"/>
    <w:rsid w:val="00123B6A"/>
    <w:rsid w:val="001241CC"/>
    <w:rsid w:val="0012446D"/>
    <w:rsid w:val="001245A9"/>
    <w:rsid w:val="0012486D"/>
    <w:rsid w:val="00124965"/>
    <w:rsid w:val="001259A7"/>
    <w:rsid w:val="001259BF"/>
    <w:rsid w:val="00125BD2"/>
    <w:rsid w:val="00126166"/>
    <w:rsid w:val="00126355"/>
    <w:rsid w:val="001268AC"/>
    <w:rsid w:val="00126920"/>
    <w:rsid w:val="00127CD3"/>
    <w:rsid w:val="00127E01"/>
    <w:rsid w:val="0013079B"/>
    <w:rsid w:val="00130B45"/>
    <w:rsid w:val="00130E17"/>
    <w:rsid w:val="00130FC2"/>
    <w:rsid w:val="001311C7"/>
    <w:rsid w:val="00131F9B"/>
    <w:rsid w:val="0013294A"/>
    <w:rsid w:val="00133673"/>
    <w:rsid w:val="0013384A"/>
    <w:rsid w:val="001339EE"/>
    <w:rsid w:val="001341FF"/>
    <w:rsid w:val="00134A61"/>
    <w:rsid w:val="00135972"/>
    <w:rsid w:val="00135F4B"/>
    <w:rsid w:val="00136CFA"/>
    <w:rsid w:val="001373A9"/>
    <w:rsid w:val="001375BA"/>
    <w:rsid w:val="001375F4"/>
    <w:rsid w:val="0013762C"/>
    <w:rsid w:val="001377A7"/>
    <w:rsid w:val="00137B6E"/>
    <w:rsid w:val="00137E47"/>
    <w:rsid w:val="0014014C"/>
    <w:rsid w:val="001403AD"/>
    <w:rsid w:val="001410FB"/>
    <w:rsid w:val="00141431"/>
    <w:rsid w:val="00141537"/>
    <w:rsid w:val="00141DBE"/>
    <w:rsid w:val="00142A59"/>
    <w:rsid w:val="00142F5E"/>
    <w:rsid w:val="001435A9"/>
    <w:rsid w:val="00143892"/>
    <w:rsid w:val="00143B50"/>
    <w:rsid w:val="00143C04"/>
    <w:rsid w:val="0014453F"/>
    <w:rsid w:val="00144BC3"/>
    <w:rsid w:val="00145521"/>
    <w:rsid w:val="00145589"/>
    <w:rsid w:val="001455EB"/>
    <w:rsid w:val="0014591B"/>
    <w:rsid w:val="00146203"/>
    <w:rsid w:val="00146339"/>
    <w:rsid w:val="0014687A"/>
    <w:rsid w:val="00146E63"/>
    <w:rsid w:val="001475BA"/>
    <w:rsid w:val="00147793"/>
    <w:rsid w:val="00147DEF"/>
    <w:rsid w:val="001500F0"/>
    <w:rsid w:val="00150334"/>
    <w:rsid w:val="00150A6A"/>
    <w:rsid w:val="00150BCC"/>
    <w:rsid w:val="001510C7"/>
    <w:rsid w:val="001513ED"/>
    <w:rsid w:val="00151553"/>
    <w:rsid w:val="0015166C"/>
    <w:rsid w:val="00152936"/>
    <w:rsid w:val="00152A3A"/>
    <w:rsid w:val="00152A5F"/>
    <w:rsid w:val="00152B24"/>
    <w:rsid w:val="00152C1D"/>
    <w:rsid w:val="00152D00"/>
    <w:rsid w:val="00152E05"/>
    <w:rsid w:val="00153096"/>
    <w:rsid w:val="00153883"/>
    <w:rsid w:val="001538E7"/>
    <w:rsid w:val="00153D9D"/>
    <w:rsid w:val="00153DF6"/>
    <w:rsid w:val="00154240"/>
    <w:rsid w:val="001543DE"/>
    <w:rsid w:val="00154754"/>
    <w:rsid w:val="0015493B"/>
    <w:rsid w:val="00154B95"/>
    <w:rsid w:val="00154CAB"/>
    <w:rsid w:val="00154EB5"/>
    <w:rsid w:val="0015529E"/>
    <w:rsid w:val="00155394"/>
    <w:rsid w:val="00155936"/>
    <w:rsid w:val="00155E00"/>
    <w:rsid w:val="0015648D"/>
    <w:rsid w:val="00156CED"/>
    <w:rsid w:val="00157D4E"/>
    <w:rsid w:val="00157D81"/>
    <w:rsid w:val="0016202E"/>
    <w:rsid w:val="00162333"/>
    <w:rsid w:val="00162792"/>
    <w:rsid w:val="0016294E"/>
    <w:rsid w:val="00162E81"/>
    <w:rsid w:val="00162EF8"/>
    <w:rsid w:val="0016305E"/>
    <w:rsid w:val="00163292"/>
    <w:rsid w:val="00164053"/>
    <w:rsid w:val="00164C01"/>
    <w:rsid w:val="00164E1D"/>
    <w:rsid w:val="0016577F"/>
    <w:rsid w:val="001657E5"/>
    <w:rsid w:val="00166058"/>
    <w:rsid w:val="001666AB"/>
    <w:rsid w:val="001669EB"/>
    <w:rsid w:val="0016777E"/>
    <w:rsid w:val="0016796E"/>
    <w:rsid w:val="00167C83"/>
    <w:rsid w:val="00167CF6"/>
    <w:rsid w:val="00171458"/>
    <w:rsid w:val="00171823"/>
    <w:rsid w:val="00171EE3"/>
    <w:rsid w:val="00171F86"/>
    <w:rsid w:val="00172481"/>
    <w:rsid w:val="00172BEA"/>
    <w:rsid w:val="00172F7C"/>
    <w:rsid w:val="001736E0"/>
    <w:rsid w:val="0017396C"/>
    <w:rsid w:val="001743E7"/>
    <w:rsid w:val="00175848"/>
    <w:rsid w:val="00175CCF"/>
    <w:rsid w:val="00176656"/>
    <w:rsid w:val="001767A0"/>
    <w:rsid w:val="00176E7B"/>
    <w:rsid w:val="00176FCB"/>
    <w:rsid w:val="001772FA"/>
    <w:rsid w:val="00177529"/>
    <w:rsid w:val="00177817"/>
    <w:rsid w:val="00177A7B"/>
    <w:rsid w:val="001807DC"/>
    <w:rsid w:val="00180804"/>
    <w:rsid w:val="00180EC2"/>
    <w:rsid w:val="0018122A"/>
    <w:rsid w:val="00181B0C"/>
    <w:rsid w:val="001821F8"/>
    <w:rsid w:val="00182A13"/>
    <w:rsid w:val="001832CD"/>
    <w:rsid w:val="001833B9"/>
    <w:rsid w:val="00183894"/>
    <w:rsid w:val="0018403F"/>
    <w:rsid w:val="001843FB"/>
    <w:rsid w:val="00184702"/>
    <w:rsid w:val="00184885"/>
    <w:rsid w:val="00184970"/>
    <w:rsid w:val="0018522A"/>
    <w:rsid w:val="001852E6"/>
    <w:rsid w:val="00185FC3"/>
    <w:rsid w:val="00186058"/>
    <w:rsid w:val="001860BD"/>
    <w:rsid w:val="00186191"/>
    <w:rsid w:val="001863B9"/>
    <w:rsid w:val="00186630"/>
    <w:rsid w:val="0018680C"/>
    <w:rsid w:val="0018761D"/>
    <w:rsid w:val="0019002C"/>
    <w:rsid w:val="00190A42"/>
    <w:rsid w:val="00190E34"/>
    <w:rsid w:val="00191548"/>
    <w:rsid w:val="00191B34"/>
    <w:rsid w:val="00192335"/>
    <w:rsid w:val="0019278E"/>
    <w:rsid w:val="00193516"/>
    <w:rsid w:val="00194583"/>
    <w:rsid w:val="00194C3C"/>
    <w:rsid w:val="00194C89"/>
    <w:rsid w:val="00194DF1"/>
    <w:rsid w:val="00195699"/>
    <w:rsid w:val="001956A3"/>
    <w:rsid w:val="00195EA5"/>
    <w:rsid w:val="0019700C"/>
    <w:rsid w:val="00197B79"/>
    <w:rsid w:val="00197D1F"/>
    <w:rsid w:val="001A0155"/>
    <w:rsid w:val="001A0771"/>
    <w:rsid w:val="001A0CF6"/>
    <w:rsid w:val="001A0F73"/>
    <w:rsid w:val="001A0F81"/>
    <w:rsid w:val="001A0F9C"/>
    <w:rsid w:val="001A144D"/>
    <w:rsid w:val="001A1BA6"/>
    <w:rsid w:val="001A1FD5"/>
    <w:rsid w:val="001A22E5"/>
    <w:rsid w:val="001A27F2"/>
    <w:rsid w:val="001A2E44"/>
    <w:rsid w:val="001A3590"/>
    <w:rsid w:val="001A3633"/>
    <w:rsid w:val="001A3805"/>
    <w:rsid w:val="001A4B10"/>
    <w:rsid w:val="001A4EFF"/>
    <w:rsid w:val="001A556C"/>
    <w:rsid w:val="001A56E4"/>
    <w:rsid w:val="001A5863"/>
    <w:rsid w:val="001A6A4C"/>
    <w:rsid w:val="001A72D5"/>
    <w:rsid w:val="001A7704"/>
    <w:rsid w:val="001A7F3D"/>
    <w:rsid w:val="001A7F4C"/>
    <w:rsid w:val="001B0316"/>
    <w:rsid w:val="001B05DF"/>
    <w:rsid w:val="001B25E2"/>
    <w:rsid w:val="001B36F0"/>
    <w:rsid w:val="001B43D7"/>
    <w:rsid w:val="001B4416"/>
    <w:rsid w:val="001B4A19"/>
    <w:rsid w:val="001B61DB"/>
    <w:rsid w:val="001B6254"/>
    <w:rsid w:val="001B63F2"/>
    <w:rsid w:val="001B6A8F"/>
    <w:rsid w:val="001B7488"/>
    <w:rsid w:val="001B7627"/>
    <w:rsid w:val="001B76E8"/>
    <w:rsid w:val="001C007B"/>
    <w:rsid w:val="001C054C"/>
    <w:rsid w:val="001C0996"/>
    <w:rsid w:val="001C1079"/>
    <w:rsid w:val="001C160F"/>
    <w:rsid w:val="001C1888"/>
    <w:rsid w:val="001C1A24"/>
    <w:rsid w:val="001C1C03"/>
    <w:rsid w:val="001C28DA"/>
    <w:rsid w:val="001C2F39"/>
    <w:rsid w:val="001C3024"/>
    <w:rsid w:val="001C303C"/>
    <w:rsid w:val="001C32FF"/>
    <w:rsid w:val="001C371B"/>
    <w:rsid w:val="001C3775"/>
    <w:rsid w:val="001C4048"/>
    <w:rsid w:val="001C4658"/>
    <w:rsid w:val="001C47E3"/>
    <w:rsid w:val="001C4B31"/>
    <w:rsid w:val="001C5902"/>
    <w:rsid w:val="001C5CF2"/>
    <w:rsid w:val="001C652E"/>
    <w:rsid w:val="001C715D"/>
    <w:rsid w:val="001C7AA6"/>
    <w:rsid w:val="001C7D4C"/>
    <w:rsid w:val="001C7E30"/>
    <w:rsid w:val="001D027D"/>
    <w:rsid w:val="001D0D44"/>
    <w:rsid w:val="001D148D"/>
    <w:rsid w:val="001D164E"/>
    <w:rsid w:val="001D1979"/>
    <w:rsid w:val="001D1CCC"/>
    <w:rsid w:val="001D235E"/>
    <w:rsid w:val="001D23AC"/>
    <w:rsid w:val="001D2595"/>
    <w:rsid w:val="001D26F3"/>
    <w:rsid w:val="001D2FEF"/>
    <w:rsid w:val="001D3894"/>
    <w:rsid w:val="001D3A67"/>
    <w:rsid w:val="001D3C83"/>
    <w:rsid w:val="001D48D8"/>
    <w:rsid w:val="001D4A1D"/>
    <w:rsid w:val="001D4BB7"/>
    <w:rsid w:val="001D5217"/>
    <w:rsid w:val="001D54DD"/>
    <w:rsid w:val="001D5BB1"/>
    <w:rsid w:val="001D5C9E"/>
    <w:rsid w:val="001D5D48"/>
    <w:rsid w:val="001D5FCE"/>
    <w:rsid w:val="001D60D5"/>
    <w:rsid w:val="001D60FF"/>
    <w:rsid w:val="001D619E"/>
    <w:rsid w:val="001D61C6"/>
    <w:rsid w:val="001D624B"/>
    <w:rsid w:val="001D638A"/>
    <w:rsid w:val="001D67D3"/>
    <w:rsid w:val="001D6913"/>
    <w:rsid w:val="001D72A0"/>
    <w:rsid w:val="001D734B"/>
    <w:rsid w:val="001D7FA7"/>
    <w:rsid w:val="001E022F"/>
    <w:rsid w:val="001E091D"/>
    <w:rsid w:val="001E09E7"/>
    <w:rsid w:val="001E0D78"/>
    <w:rsid w:val="001E1163"/>
    <w:rsid w:val="001E12D7"/>
    <w:rsid w:val="001E16F8"/>
    <w:rsid w:val="001E1A9E"/>
    <w:rsid w:val="001E1ABE"/>
    <w:rsid w:val="001E1B22"/>
    <w:rsid w:val="001E1DBF"/>
    <w:rsid w:val="001E28B0"/>
    <w:rsid w:val="001E2C10"/>
    <w:rsid w:val="001E2D28"/>
    <w:rsid w:val="001E2D58"/>
    <w:rsid w:val="001E2E1A"/>
    <w:rsid w:val="001E2FAD"/>
    <w:rsid w:val="001E3252"/>
    <w:rsid w:val="001E3498"/>
    <w:rsid w:val="001E34E2"/>
    <w:rsid w:val="001E4713"/>
    <w:rsid w:val="001E5075"/>
    <w:rsid w:val="001E5680"/>
    <w:rsid w:val="001E57F8"/>
    <w:rsid w:val="001E5A95"/>
    <w:rsid w:val="001E5E4B"/>
    <w:rsid w:val="001E661B"/>
    <w:rsid w:val="001E6C43"/>
    <w:rsid w:val="001E6EA2"/>
    <w:rsid w:val="001E713F"/>
    <w:rsid w:val="001E77DA"/>
    <w:rsid w:val="001F05B1"/>
    <w:rsid w:val="001F0CF4"/>
    <w:rsid w:val="001F0FB4"/>
    <w:rsid w:val="001F1105"/>
    <w:rsid w:val="001F12A5"/>
    <w:rsid w:val="001F1588"/>
    <w:rsid w:val="001F2047"/>
    <w:rsid w:val="001F226D"/>
    <w:rsid w:val="001F24C0"/>
    <w:rsid w:val="001F2AF4"/>
    <w:rsid w:val="001F2C6D"/>
    <w:rsid w:val="001F308A"/>
    <w:rsid w:val="001F479E"/>
    <w:rsid w:val="001F4A42"/>
    <w:rsid w:val="001F4D35"/>
    <w:rsid w:val="001F50AF"/>
    <w:rsid w:val="001F57C7"/>
    <w:rsid w:val="001F631A"/>
    <w:rsid w:val="001F64DB"/>
    <w:rsid w:val="001F6DBD"/>
    <w:rsid w:val="001F7108"/>
    <w:rsid w:val="001F71BC"/>
    <w:rsid w:val="001F72B2"/>
    <w:rsid w:val="001F7775"/>
    <w:rsid w:val="001F7E84"/>
    <w:rsid w:val="00200218"/>
    <w:rsid w:val="002003C9"/>
    <w:rsid w:val="002007C9"/>
    <w:rsid w:val="0020095E"/>
    <w:rsid w:val="00201F7A"/>
    <w:rsid w:val="00202138"/>
    <w:rsid w:val="00202254"/>
    <w:rsid w:val="00202817"/>
    <w:rsid w:val="002034D0"/>
    <w:rsid w:val="00203C7A"/>
    <w:rsid w:val="00203D2A"/>
    <w:rsid w:val="00203E09"/>
    <w:rsid w:val="00203FC3"/>
    <w:rsid w:val="00203FDB"/>
    <w:rsid w:val="0020438E"/>
    <w:rsid w:val="002048D0"/>
    <w:rsid w:val="00204BDD"/>
    <w:rsid w:val="00204D25"/>
    <w:rsid w:val="00204F3F"/>
    <w:rsid w:val="00206323"/>
    <w:rsid w:val="00206816"/>
    <w:rsid w:val="00206D8E"/>
    <w:rsid w:val="00206E88"/>
    <w:rsid w:val="002070BE"/>
    <w:rsid w:val="00207596"/>
    <w:rsid w:val="002075CC"/>
    <w:rsid w:val="002075FE"/>
    <w:rsid w:val="00207AEE"/>
    <w:rsid w:val="00207B11"/>
    <w:rsid w:val="00207E4E"/>
    <w:rsid w:val="00210559"/>
    <w:rsid w:val="0021073D"/>
    <w:rsid w:val="00211691"/>
    <w:rsid w:val="0021186F"/>
    <w:rsid w:val="0021197B"/>
    <w:rsid w:val="00211BF1"/>
    <w:rsid w:val="00211E8F"/>
    <w:rsid w:val="002123C2"/>
    <w:rsid w:val="00213037"/>
    <w:rsid w:val="00213503"/>
    <w:rsid w:val="0021366B"/>
    <w:rsid w:val="0021376C"/>
    <w:rsid w:val="00214CCE"/>
    <w:rsid w:val="00214CED"/>
    <w:rsid w:val="002158E5"/>
    <w:rsid w:val="0021615E"/>
    <w:rsid w:val="0021696E"/>
    <w:rsid w:val="00216E59"/>
    <w:rsid w:val="00217101"/>
    <w:rsid w:val="00217347"/>
    <w:rsid w:val="002177D6"/>
    <w:rsid w:val="002177DA"/>
    <w:rsid w:val="0022008F"/>
    <w:rsid w:val="002203D1"/>
    <w:rsid w:val="0022055D"/>
    <w:rsid w:val="00220CED"/>
    <w:rsid w:val="00220E16"/>
    <w:rsid w:val="00221364"/>
    <w:rsid w:val="00221E15"/>
    <w:rsid w:val="00222191"/>
    <w:rsid w:val="002228D6"/>
    <w:rsid w:val="0022297C"/>
    <w:rsid w:val="00222A0C"/>
    <w:rsid w:val="00222A2F"/>
    <w:rsid w:val="00222E10"/>
    <w:rsid w:val="00223211"/>
    <w:rsid w:val="00223E51"/>
    <w:rsid w:val="0022434E"/>
    <w:rsid w:val="002246D2"/>
    <w:rsid w:val="002247BE"/>
    <w:rsid w:val="002249CA"/>
    <w:rsid w:val="002252BA"/>
    <w:rsid w:val="002256A7"/>
    <w:rsid w:val="00226253"/>
    <w:rsid w:val="002262D6"/>
    <w:rsid w:val="0022713B"/>
    <w:rsid w:val="0022724E"/>
    <w:rsid w:val="00227638"/>
    <w:rsid w:val="0022785D"/>
    <w:rsid w:val="00227AB5"/>
    <w:rsid w:val="00227BA4"/>
    <w:rsid w:val="00227C92"/>
    <w:rsid w:val="00227CA4"/>
    <w:rsid w:val="00230A41"/>
    <w:rsid w:val="00230D4C"/>
    <w:rsid w:val="0023130F"/>
    <w:rsid w:val="0023133F"/>
    <w:rsid w:val="0023165A"/>
    <w:rsid w:val="002328C1"/>
    <w:rsid w:val="00233159"/>
    <w:rsid w:val="00233482"/>
    <w:rsid w:val="00233CFD"/>
    <w:rsid w:val="00233E8E"/>
    <w:rsid w:val="00233FB9"/>
    <w:rsid w:val="00234669"/>
    <w:rsid w:val="002348CF"/>
    <w:rsid w:val="00234952"/>
    <w:rsid w:val="0023495A"/>
    <w:rsid w:val="00234C3B"/>
    <w:rsid w:val="00234F00"/>
    <w:rsid w:val="0023509A"/>
    <w:rsid w:val="00236026"/>
    <w:rsid w:val="00236117"/>
    <w:rsid w:val="00236260"/>
    <w:rsid w:val="00236585"/>
    <w:rsid w:val="00236EAD"/>
    <w:rsid w:val="002371DB"/>
    <w:rsid w:val="002372F7"/>
    <w:rsid w:val="002376C1"/>
    <w:rsid w:val="0023770A"/>
    <w:rsid w:val="002377FA"/>
    <w:rsid w:val="00237900"/>
    <w:rsid w:val="00237BD7"/>
    <w:rsid w:val="002403F9"/>
    <w:rsid w:val="0024049F"/>
    <w:rsid w:val="002409DB"/>
    <w:rsid w:val="00240FF1"/>
    <w:rsid w:val="00241398"/>
    <w:rsid w:val="00241B21"/>
    <w:rsid w:val="0024262D"/>
    <w:rsid w:val="0024294B"/>
    <w:rsid w:val="00242CA8"/>
    <w:rsid w:val="00243452"/>
    <w:rsid w:val="002436B4"/>
    <w:rsid w:val="0024447D"/>
    <w:rsid w:val="00244CAA"/>
    <w:rsid w:val="00245084"/>
    <w:rsid w:val="002453F8"/>
    <w:rsid w:val="00245760"/>
    <w:rsid w:val="00245D04"/>
    <w:rsid w:val="00245D88"/>
    <w:rsid w:val="00245DA1"/>
    <w:rsid w:val="00246565"/>
    <w:rsid w:val="00246900"/>
    <w:rsid w:val="00246B03"/>
    <w:rsid w:val="00246CAC"/>
    <w:rsid w:val="00246E2C"/>
    <w:rsid w:val="002470CE"/>
    <w:rsid w:val="00247E43"/>
    <w:rsid w:val="00250279"/>
    <w:rsid w:val="002502AF"/>
    <w:rsid w:val="0025032A"/>
    <w:rsid w:val="002504A7"/>
    <w:rsid w:val="00250A18"/>
    <w:rsid w:val="00250CAB"/>
    <w:rsid w:val="00250E2D"/>
    <w:rsid w:val="00250EF6"/>
    <w:rsid w:val="00250FE0"/>
    <w:rsid w:val="00251976"/>
    <w:rsid w:val="002523F1"/>
    <w:rsid w:val="00252660"/>
    <w:rsid w:val="002528F7"/>
    <w:rsid w:val="00253353"/>
    <w:rsid w:val="0025355C"/>
    <w:rsid w:val="0025389A"/>
    <w:rsid w:val="00253953"/>
    <w:rsid w:val="00253968"/>
    <w:rsid w:val="00253FAA"/>
    <w:rsid w:val="002541E0"/>
    <w:rsid w:val="002542D7"/>
    <w:rsid w:val="00254334"/>
    <w:rsid w:val="0025476B"/>
    <w:rsid w:val="002547FF"/>
    <w:rsid w:val="0025487F"/>
    <w:rsid w:val="00254DFF"/>
    <w:rsid w:val="00254EDD"/>
    <w:rsid w:val="00255304"/>
    <w:rsid w:val="00255B5D"/>
    <w:rsid w:val="00255E70"/>
    <w:rsid w:val="0025617F"/>
    <w:rsid w:val="002562F8"/>
    <w:rsid w:val="00256570"/>
    <w:rsid w:val="002565B6"/>
    <w:rsid w:val="00256732"/>
    <w:rsid w:val="00256EA4"/>
    <w:rsid w:val="00257472"/>
    <w:rsid w:val="0025759A"/>
    <w:rsid w:val="002576E3"/>
    <w:rsid w:val="002579F2"/>
    <w:rsid w:val="00257BE2"/>
    <w:rsid w:val="00257D33"/>
    <w:rsid w:val="002604AD"/>
    <w:rsid w:val="002606A1"/>
    <w:rsid w:val="00260D36"/>
    <w:rsid w:val="00260ED3"/>
    <w:rsid w:val="00261732"/>
    <w:rsid w:val="002624AC"/>
    <w:rsid w:val="00262B27"/>
    <w:rsid w:val="00262BA0"/>
    <w:rsid w:val="00262BF7"/>
    <w:rsid w:val="00262C6D"/>
    <w:rsid w:val="00262FB7"/>
    <w:rsid w:val="002633AF"/>
    <w:rsid w:val="002636DF"/>
    <w:rsid w:val="00263797"/>
    <w:rsid w:val="0026390D"/>
    <w:rsid w:val="00263A55"/>
    <w:rsid w:val="00263D86"/>
    <w:rsid w:val="00263E9E"/>
    <w:rsid w:val="00263EEA"/>
    <w:rsid w:val="002645C9"/>
    <w:rsid w:val="002647E5"/>
    <w:rsid w:val="00264937"/>
    <w:rsid w:val="00264A17"/>
    <w:rsid w:val="00264BB7"/>
    <w:rsid w:val="002651BB"/>
    <w:rsid w:val="002665B8"/>
    <w:rsid w:val="00266D41"/>
    <w:rsid w:val="0026755E"/>
    <w:rsid w:val="00267CF2"/>
    <w:rsid w:val="002707DE"/>
    <w:rsid w:val="00270C09"/>
    <w:rsid w:val="00271A7D"/>
    <w:rsid w:val="002721FB"/>
    <w:rsid w:val="002722BA"/>
    <w:rsid w:val="0027273E"/>
    <w:rsid w:val="00272AE3"/>
    <w:rsid w:val="002731B9"/>
    <w:rsid w:val="0027320B"/>
    <w:rsid w:val="00273486"/>
    <w:rsid w:val="002734B9"/>
    <w:rsid w:val="002735EC"/>
    <w:rsid w:val="00273751"/>
    <w:rsid w:val="002739D6"/>
    <w:rsid w:val="00273B5A"/>
    <w:rsid w:val="00273BD4"/>
    <w:rsid w:val="00273F5F"/>
    <w:rsid w:val="00274402"/>
    <w:rsid w:val="002746F3"/>
    <w:rsid w:val="00274CF7"/>
    <w:rsid w:val="0027524C"/>
    <w:rsid w:val="002752AB"/>
    <w:rsid w:val="00275A06"/>
    <w:rsid w:val="00275B3C"/>
    <w:rsid w:val="002760A3"/>
    <w:rsid w:val="00276228"/>
    <w:rsid w:val="0027650B"/>
    <w:rsid w:val="0027656E"/>
    <w:rsid w:val="002768AF"/>
    <w:rsid w:val="002769D1"/>
    <w:rsid w:val="00276D9D"/>
    <w:rsid w:val="0027755E"/>
    <w:rsid w:val="00277991"/>
    <w:rsid w:val="00277A1D"/>
    <w:rsid w:val="00277DB5"/>
    <w:rsid w:val="00280B39"/>
    <w:rsid w:val="00280CC3"/>
    <w:rsid w:val="0028162A"/>
    <w:rsid w:val="00281888"/>
    <w:rsid w:val="00281EF5"/>
    <w:rsid w:val="0028204F"/>
    <w:rsid w:val="002820B4"/>
    <w:rsid w:val="00282684"/>
    <w:rsid w:val="00282FCF"/>
    <w:rsid w:val="00283A54"/>
    <w:rsid w:val="00284469"/>
    <w:rsid w:val="0028470A"/>
    <w:rsid w:val="002847EE"/>
    <w:rsid w:val="0028498A"/>
    <w:rsid w:val="00284EEC"/>
    <w:rsid w:val="00284F54"/>
    <w:rsid w:val="00285BEB"/>
    <w:rsid w:val="00285EB7"/>
    <w:rsid w:val="00287116"/>
    <w:rsid w:val="002875F9"/>
    <w:rsid w:val="00290397"/>
    <w:rsid w:val="0029045D"/>
    <w:rsid w:val="0029110F"/>
    <w:rsid w:val="00291139"/>
    <w:rsid w:val="00291231"/>
    <w:rsid w:val="002913E0"/>
    <w:rsid w:val="00291920"/>
    <w:rsid w:val="00291AA7"/>
    <w:rsid w:val="00291CBF"/>
    <w:rsid w:val="00291F29"/>
    <w:rsid w:val="00292AE2"/>
    <w:rsid w:val="002930D9"/>
    <w:rsid w:val="00294355"/>
    <w:rsid w:val="00294CFB"/>
    <w:rsid w:val="00295505"/>
    <w:rsid w:val="002955FF"/>
    <w:rsid w:val="00295D38"/>
    <w:rsid w:val="002962E2"/>
    <w:rsid w:val="002968FF"/>
    <w:rsid w:val="002970DD"/>
    <w:rsid w:val="002971F8"/>
    <w:rsid w:val="002973E2"/>
    <w:rsid w:val="00297560"/>
    <w:rsid w:val="00297C4F"/>
    <w:rsid w:val="00297C88"/>
    <w:rsid w:val="002A0467"/>
    <w:rsid w:val="002A0485"/>
    <w:rsid w:val="002A0A22"/>
    <w:rsid w:val="002A0C82"/>
    <w:rsid w:val="002A2177"/>
    <w:rsid w:val="002A306F"/>
    <w:rsid w:val="002A31F5"/>
    <w:rsid w:val="002A353A"/>
    <w:rsid w:val="002A3B93"/>
    <w:rsid w:val="002A3F1A"/>
    <w:rsid w:val="002A42B9"/>
    <w:rsid w:val="002A4590"/>
    <w:rsid w:val="002A5830"/>
    <w:rsid w:val="002A5C91"/>
    <w:rsid w:val="002A6DB2"/>
    <w:rsid w:val="002A76BE"/>
    <w:rsid w:val="002A7B66"/>
    <w:rsid w:val="002A7DDC"/>
    <w:rsid w:val="002A7F0D"/>
    <w:rsid w:val="002A7F75"/>
    <w:rsid w:val="002B0129"/>
    <w:rsid w:val="002B0517"/>
    <w:rsid w:val="002B0827"/>
    <w:rsid w:val="002B1864"/>
    <w:rsid w:val="002B1B10"/>
    <w:rsid w:val="002B20B7"/>
    <w:rsid w:val="002B2264"/>
    <w:rsid w:val="002B2351"/>
    <w:rsid w:val="002B2B20"/>
    <w:rsid w:val="002B2DC7"/>
    <w:rsid w:val="002B302A"/>
    <w:rsid w:val="002B38F8"/>
    <w:rsid w:val="002B3AE2"/>
    <w:rsid w:val="002B3DBB"/>
    <w:rsid w:val="002B40D4"/>
    <w:rsid w:val="002B47FD"/>
    <w:rsid w:val="002B4CB8"/>
    <w:rsid w:val="002B4DD6"/>
    <w:rsid w:val="002B4E18"/>
    <w:rsid w:val="002B5C7A"/>
    <w:rsid w:val="002B69C0"/>
    <w:rsid w:val="002B6BD1"/>
    <w:rsid w:val="002B6F6A"/>
    <w:rsid w:val="002B71B5"/>
    <w:rsid w:val="002B7A93"/>
    <w:rsid w:val="002B7B4A"/>
    <w:rsid w:val="002B7ED6"/>
    <w:rsid w:val="002C282C"/>
    <w:rsid w:val="002C2CE5"/>
    <w:rsid w:val="002C3122"/>
    <w:rsid w:val="002C435C"/>
    <w:rsid w:val="002C43A8"/>
    <w:rsid w:val="002C45E7"/>
    <w:rsid w:val="002C47A6"/>
    <w:rsid w:val="002C49B7"/>
    <w:rsid w:val="002C4FD8"/>
    <w:rsid w:val="002C5083"/>
    <w:rsid w:val="002C5BA0"/>
    <w:rsid w:val="002C69F8"/>
    <w:rsid w:val="002C6EF1"/>
    <w:rsid w:val="002C6F2F"/>
    <w:rsid w:val="002C7651"/>
    <w:rsid w:val="002C76A6"/>
    <w:rsid w:val="002C7CE3"/>
    <w:rsid w:val="002D0E72"/>
    <w:rsid w:val="002D0E84"/>
    <w:rsid w:val="002D100C"/>
    <w:rsid w:val="002D12DF"/>
    <w:rsid w:val="002D13B6"/>
    <w:rsid w:val="002D1B07"/>
    <w:rsid w:val="002D1BD7"/>
    <w:rsid w:val="002D1C86"/>
    <w:rsid w:val="002D2C56"/>
    <w:rsid w:val="002D2FE7"/>
    <w:rsid w:val="002D3416"/>
    <w:rsid w:val="002D3988"/>
    <w:rsid w:val="002D3D80"/>
    <w:rsid w:val="002D405B"/>
    <w:rsid w:val="002D412A"/>
    <w:rsid w:val="002D46AC"/>
    <w:rsid w:val="002D4F0F"/>
    <w:rsid w:val="002D503C"/>
    <w:rsid w:val="002D518E"/>
    <w:rsid w:val="002D54EB"/>
    <w:rsid w:val="002D576B"/>
    <w:rsid w:val="002D57A8"/>
    <w:rsid w:val="002D57BA"/>
    <w:rsid w:val="002D633A"/>
    <w:rsid w:val="002D6693"/>
    <w:rsid w:val="002D6756"/>
    <w:rsid w:val="002D69BC"/>
    <w:rsid w:val="002D7029"/>
    <w:rsid w:val="002D7F30"/>
    <w:rsid w:val="002E0635"/>
    <w:rsid w:val="002E081E"/>
    <w:rsid w:val="002E0851"/>
    <w:rsid w:val="002E0A16"/>
    <w:rsid w:val="002E19B7"/>
    <w:rsid w:val="002E1C65"/>
    <w:rsid w:val="002E1ED9"/>
    <w:rsid w:val="002E2093"/>
    <w:rsid w:val="002E2400"/>
    <w:rsid w:val="002E25E7"/>
    <w:rsid w:val="002E291B"/>
    <w:rsid w:val="002E3047"/>
    <w:rsid w:val="002E3536"/>
    <w:rsid w:val="002E38F2"/>
    <w:rsid w:val="002E3A79"/>
    <w:rsid w:val="002E3D40"/>
    <w:rsid w:val="002E4D27"/>
    <w:rsid w:val="002E5594"/>
    <w:rsid w:val="002E5BAE"/>
    <w:rsid w:val="002E5C76"/>
    <w:rsid w:val="002E619F"/>
    <w:rsid w:val="002E61E5"/>
    <w:rsid w:val="002E647D"/>
    <w:rsid w:val="002E6559"/>
    <w:rsid w:val="002E6A57"/>
    <w:rsid w:val="002E7903"/>
    <w:rsid w:val="002F0404"/>
    <w:rsid w:val="002F0F44"/>
    <w:rsid w:val="002F0FD0"/>
    <w:rsid w:val="002F1EE4"/>
    <w:rsid w:val="002F1FF9"/>
    <w:rsid w:val="002F2456"/>
    <w:rsid w:val="002F24B1"/>
    <w:rsid w:val="002F2658"/>
    <w:rsid w:val="002F26AD"/>
    <w:rsid w:val="002F2A08"/>
    <w:rsid w:val="002F3079"/>
    <w:rsid w:val="002F3C75"/>
    <w:rsid w:val="002F4C96"/>
    <w:rsid w:val="002F4E44"/>
    <w:rsid w:val="002F54D2"/>
    <w:rsid w:val="002F56DF"/>
    <w:rsid w:val="002F57E3"/>
    <w:rsid w:val="002F5982"/>
    <w:rsid w:val="002F6BED"/>
    <w:rsid w:val="002F7309"/>
    <w:rsid w:val="002F73F6"/>
    <w:rsid w:val="002F7689"/>
    <w:rsid w:val="002F78AD"/>
    <w:rsid w:val="002F7A6D"/>
    <w:rsid w:val="002F7B1C"/>
    <w:rsid w:val="002F7C0C"/>
    <w:rsid w:val="003001F4"/>
    <w:rsid w:val="0030048D"/>
    <w:rsid w:val="003007F0"/>
    <w:rsid w:val="00300BB4"/>
    <w:rsid w:val="00300C07"/>
    <w:rsid w:val="00300E18"/>
    <w:rsid w:val="00301CED"/>
    <w:rsid w:val="00301DDD"/>
    <w:rsid w:val="0030212A"/>
    <w:rsid w:val="0030253A"/>
    <w:rsid w:val="00302843"/>
    <w:rsid w:val="0030284D"/>
    <w:rsid w:val="00303062"/>
    <w:rsid w:val="00303407"/>
    <w:rsid w:val="003035B9"/>
    <w:rsid w:val="003035D9"/>
    <w:rsid w:val="003039D9"/>
    <w:rsid w:val="00303AB3"/>
    <w:rsid w:val="00303E45"/>
    <w:rsid w:val="00304770"/>
    <w:rsid w:val="00304960"/>
    <w:rsid w:val="00304A58"/>
    <w:rsid w:val="0030502F"/>
    <w:rsid w:val="00305804"/>
    <w:rsid w:val="00305D0D"/>
    <w:rsid w:val="00305F17"/>
    <w:rsid w:val="00306305"/>
    <w:rsid w:val="00306710"/>
    <w:rsid w:val="00306D1C"/>
    <w:rsid w:val="00307680"/>
    <w:rsid w:val="00310033"/>
    <w:rsid w:val="00310555"/>
    <w:rsid w:val="00310C23"/>
    <w:rsid w:val="003112B7"/>
    <w:rsid w:val="0031260A"/>
    <w:rsid w:val="003127CA"/>
    <w:rsid w:val="00312818"/>
    <w:rsid w:val="00312C50"/>
    <w:rsid w:val="0031302E"/>
    <w:rsid w:val="003132D7"/>
    <w:rsid w:val="00313375"/>
    <w:rsid w:val="00313C7F"/>
    <w:rsid w:val="00313F54"/>
    <w:rsid w:val="003144EC"/>
    <w:rsid w:val="0031456E"/>
    <w:rsid w:val="003146CB"/>
    <w:rsid w:val="0031482F"/>
    <w:rsid w:val="00314AF7"/>
    <w:rsid w:val="00314F50"/>
    <w:rsid w:val="003157B8"/>
    <w:rsid w:val="003158E7"/>
    <w:rsid w:val="00316626"/>
    <w:rsid w:val="003169CD"/>
    <w:rsid w:val="00317000"/>
    <w:rsid w:val="00317470"/>
    <w:rsid w:val="003174EC"/>
    <w:rsid w:val="0031769C"/>
    <w:rsid w:val="00320547"/>
    <w:rsid w:val="0032077B"/>
    <w:rsid w:val="003208A0"/>
    <w:rsid w:val="003209B8"/>
    <w:rsid w:val="00320C32"/>
    <w:rsid w:val="003212AD"/>
    <w:rsid w:val="00321E6D"/>
    <w:rsid w:val="003223B2"/>
    <w:rsid w:val="003229ED"/>
    <w:rsid w:val="00322ADB"/>
    <w:rsid w:val="00324376"/>
    <w:rsid w:val="0032437D"/>
    <w:rsid w:val="00324529"/>
    <w:rsid w:val="00324624"/>
    <w:rsid w:val="00324B17"/>
    <w:rsid w:val="00324C4A"/>
    <w:rsid w:val="00324CE3"/>
    <w:rsid w:val="0032530B"/>
    <w:rsid w:val="00325419"/>
    <w:rsid w:val="00325516"/>
    <w:rsid w:val="003257B6"/>
    <w:rsid w:val="003264A2"/>
    <w:rsid w:val="0032678A"/>
    <w:rsid w:val="003267F4"/>
    <w:rsid w:val="00326863"/>
    <w:rsid w:val="00326993"/>
    <w:rsid w:val="00326C32"/>
    <w:rsid w:val="003278F8"/>
    <w:rsid w:val="0033034C"/>
    <w:rsid w:val="0033088B"/>
    <w:rsid w:val="00331011"/>
    <w:rsid w:val="003315A3"/>
    <w:rsid w:val="00331FDD"/>
    <w:rsid w:val="00332338"/>
    <w:rsid w:val="003331F6"/>
    <w:rsid w:val="003334F8"/>
    <w:rsid w:val="00333524"/>
    <w:rsid w:val="00333990"/>
    <w:rsid w:val="003350CB"/>
    <w:rsid w:val="00335CB6"/>
    <w:rsid w:val="00336216"/>
    <w:rsid w:val="003365F2"/>
    <w:rsid w:val="00336685"/>
    <w:rsid w:val="003366DF"/>
    <w:rsid w:val="00336E59"/>
    <w:rsid w:val="0033753B"/>
    <w:rsid w:val="003376DB"/>
    <w:rsid w:val="00337B95"/>
    <w:rsid w:val="00337E3A"/>
    <w:rsid w:val="00337FB6"/>
    <w:rsid w:val="003405AD"/>
    <w:rsid w:val="00340A04"/>
    <w:rsid w:val="00340F67"/>
    <w:rsid w:val="00341410"/>
    <w:rsid w:val="003424B4"/>
    <w:rsid w:val="003426CB"/>
    <w:rsid w:val="00342710"/>
    <w:rsid w:val="003429D7"/>
    <w:rsid w:val="003434DE"/>
    <w:rsid w:val="00343B92"/>
    <w:rsid w:val="00343C34"/>
    <w:rsid w:val="003443C6"/>
    <w:rsid w:val="0034458D"/>
    <w:rsid w:val="00344C1F"/>
    <w:rsid w:val="0034573A"/>
    <w:rsid w:val="00345769"/>
    <w:rsid w:val="00345A0B"/>
    <w:rsid w:val="00345C81"/>
    <w:rsid w:val="00345D5F"/>
    <w:rsid w:val="00346196"/>
    <w:rsid w:val="00346251"/>
    <w:rsid w:val="00346704"/>
    <w:rsid w:val="00346ACF"/>
    <w:rsid w:val="00346F23"/>
    <w:rsid w:val="00346F70"/>
    <w:rsid w:val="00347358"/>
    <w:rsid w:val="00347C70"/>
    <w:rsid w:val="00350066"/>
    <w:rsid w:val="003501B2"/>
    <w:rsid w:val="00350AA9"/>
    <w:rsid w:val="0035100B"/>
    <w:rsid w:val="00351600"/>
    <w:rsid w:val="00351E3F"/>
    <w:rsid w:val="00351F30"/>
    <w:rsid w:val="0035202E"/>
    <w:rsid w:val="00352240"/>
    <w:rsid w:val="0035325D"/>
    <w:rsid w:val="003532F6"/>
    <w:rsid w:val="003534C8"/>
    <w:rsid w:val="003548C4"/>
    <w:rsid w:val="00354B19"/>
    <w:rsid w:val="00354E67"/>
    <w:rsid w:val="00354F67"/>
    <w:rsid w:val="003556EC"/>
    <w:rsid w:val="00355831"/>
    <w:rsid w:val="00355A9B"/>
    <w:rsid w:val="00355BF0"/>
    <w:rsid w:val="00355EDB"/>
    <w:rsid w:val="00356066"/>
    <w:rsid w:val="00356096"/>
    <w:rsid w:val="0035679F"/>
    <w:rsid w:val="00357067"/>
    <w:rsid w:val="00357079"/>
    <w:rsid w:val="003570EF"/>
    <w:rsid w:val="00357204"/>
    <w:rsid w:val="00357FB8"/>
    <w:rsid w:val="003600E3"/>
    <w:rsid w:val="00360571"/>
    <w:rsid w:val="0036079B"/>
    <w:rsid w:val="00360A78"/>
    <w:rsid w:val="00361339"/>
    <w:rsid w:val="00361566"/>
    <w:rsid w:val="00361848"/>
    <w:rsid w:val="00361FE4"/>
    <w:rsid w:val="003620E0"/>
    <w:rsid w:val="00362108"/>
    <w:rsid w:val="003622AD"/>
    <w:rsid w:val="0036256E"/>
    <w:rsid w:val="00362B12"/>
    <w:rsid w:val="003632CD"/>
    <w:rsid w:val="003635B5"/>
    <w:rsid w:val="003635F3"/>
    <w:rsid w:val="00363A73"/>
    <w:rsid w:val="00364203"/>
    <w:rsid w:val="00364798"/>
    <w:rsid w:val="00364B6A"/>
    <w:rsid w:val="00364CB2"/>
    <w:rsid w:val="0036526B"/>
    <w:rsid w:val="00365AC9"/>
    <w:rsid w:val="00365F43"/>
    <w:rsid w:val="0036627F"/>
    <w:rsid w:val="00366BE1"/>
    <w:rsid w:val="00366CFE"/>
    <w:rsid w:val="0036708A"/>
    <w:rsid w:val="0036738A"/>
    <w:rsid w:val="0036762D"/>
    <w:rsid w:val="0037025C"/>
    <w:rsid w:val="0037037C"/>
    <w:rsid w:val="003706C0"/>
    <w:rsid w:val="00371C5A"/>
    <w:rsid w:val="003727EF"/>
    <w:rsid w:val="003728A7"/>
    <w:rsid w:val="00373D96"/>
    <w:rsid w:val="00373E1C"/>
    <w:rsid w:val="003740D7"/>
    <w:rsid w:val="003747F9"/>
    <w:rsid w:val="00374BEC"/>
    <w:rsid w:val="00374E79"/>
    <w:rsid w:val="003757BF"/>
    <w:rsid w:val="00375E22"/>
    <w:rsid w:val="00377B5D"/>
    <w:rsid w:val="00380048"/>
    <w:rsid w:val="00380427"/>
    <w:rsid w:val="00381246"/>
    <w:rsid w:val="003816F6"/>
    <w:rsid w:val="003817AB"/>
    <w:rsid w:val="00381A60"/>
    <w:rsid w:val="00381DE9"/>
    <w:rsid w:val="00382634"/>
    <w:rsid w:val="00382EA6"/>
    <w:rsid w:val="00383C84"/>
    <w:rsid w:val="00384190"/>
    <w:rsid w:val="00384434"/>
    <w:rsid w:val="00385507"/>
    <w:rsid w:val="00385828"/>
    <w:rsid w:val="0038589C"/>
    <w:rsid w:val="00385B72"/>
    <w:rsid w:val="00385BFB"/>
    <w:rsid w:val="00386825"/>
    <w:rsid w:val="0038690A"/>
    <w:rsid w:val="00386DDA"/>
    <w:rsid w:val="00386F7A"/>
    <w:rsid w:val="0038765F"/>
    <w:rsid w:val="0038776A"/>
    <w:rsid w:val="003879DE"/>
    <w:rsid w:val="003879E4"/>
    <w:rsid w:val="00390086"/>
    <w:rsid w:val="00390618"/>
    <w:rsid w:val="003907D2"/>
    <w:rsid w:val="0039091F"/>
    <w:rsid w:val="00390BE1"/>
    <w:rsid w:val="00390D9C"/>
    <w:rsid w:val="00391AC9"/>
    <w:rsid w:val="00391E3F"/>
    <w:rsid w:val="003922F8"/>
    <w:rsid w:val="00392381"/>
    <w:rsid w:val="003926E1"/>
    <w:rsid w:val="00392724"/>
    <w:rsid w:val="00392D66"/>
    <w:rsid w:val="003932AD"/>
    <w:rsid w:val="00393AE2"/>
    <w:rsid w:val="00393E97"/>
    <w:rsid w:val="00393F35"/>
    <w:rsid w:val="00393F79"/>
    <w:rsid w:val="00393F98"/>
    <w:rsid w:val="0039405F"/>
    <w:rsid w:val="00394359"/>
    <w:rsid w:val="00394766"/>
    <w:rsid w:val="00395267"/>
    <w:rsid w:val="0039627D"/>
    <w:rsid w:val="00396311"/>
    <w:rsid w:val="003964E0"/>
    <w:rsid w:val="0039669E"/>
    <w:rsid w:val="00396DAD"/>
    <w:rsid w:val="00397338"/>
    <w:rsid w:val="00397B65"/>
    <w:rsid w:val="00397BAF"/>
    <w:rsid w:val="00397BB4"/>
    <w:rsid w:val="00397FC3"/>
    <w:rsid w:val="003A0AF6"/>
    <w:rsid w:val="003A0B26"/>
    <w:rsid w:val="003A0CE2"/>
    <w:rsid w:val="003A12FB"/>
    <w:rsid w:val="003A1805"/>
    <w:rsid w:val="003A1D89"/>
    <w:rsid w:val="003A1EE0"/>
    <w:rsid w:val="003A247A"/>
    <w:rsid w:val="003A2922"/>
    <w:rsid w:val="003A2A64"/>
    <w:rsid w:val="003A3932"/>
    <w:rsid w:val="003A3B0F"/>
    <w:rsid w:val="003A40B5"/>
    <w:rsid w:val="003A4250"/>
    <w:rsid w:val="003A4276"/>
    <w:rsid w:val="003A4676"/>
    <w:rsid w:val="003A48FE"/>
    <w:rsid w:val="003A4986"/>
    <w:rsid w:val="003A4CF6"/>
    <w:rsid w:val="003A581A"/>
    <w:rsid w:val="003A5FBE"/>
    <w:rsid w:val="003A62A7"/>
    <w:rsid w:val="003A644C"/>
    <w:rsid w:val="003A738D"/>
    <w:rsid w:val="003A7509"/>
    <w:rsid w:val="003A7B93"/>
    <w:rsid w:val="003A7BE2"/>
    <w:rsid w:val="003B09F4"/>
    <w:rsid w:val="003B148F"/>
    <w:rsid w:val="003B1590"/>
    <w:rsid w:val="003B18CF"/>
    <w:rsid w:val="003B1CE9"/>
    <w:rsid w:val="003B1DAD"/>
    <w:rsid w:val="003B2280"/>
    <w:rsid w:val="003B3AA0"/>
    <w:rsid w:val="003B4124"/>
    <w:rsid w:val="003B42EA"/>
    <w:rsid w:val="003B44D7"/>
    <w:rsid w:val="003B44D9"/>
    <w:rsid w:val="003B5772"/>
    <w:rsid w:val="003B5BEC"/>
    <w:rsid w:val="003B5C37"/>
    <w:rsid w:val="003B6061"/>
    <w:rsid w:val="003B67EF"/>
    <w:rsid w:val="003B6900"/>
    <w:rsid w:val="003B69B4"/>
    <w:rsid w:val="003B6FDB"/>
    <w:rsid w:val="003B7351"/>
    <w:rsid w:val="003B7EF3"/>
    <w:rsid w:val="003C0081"/>
    <w:rsid w:val="003C0775"/>
    <w:rsid w:val="003C13F4"/>
    <w:rsid w:val="003C1B1D"/>
    <w:rsid w:val="003C1FAA"/>
    <w:rsid w:val="003C274A"/>
    <w:rsid w:val="003C2F66"/>
    <w:rsid w:val="003C3351"/>
    <w:rsid w:val="003C35E4"/>
    <w:rsid w:val="003C37CF"/>
    <w:rsid w:val="003C3BC7"/>
    <w:rsid w:val="003C4056"/>
    <w:rsid w:val="003C4154"/>
    <w:rsid w:val="003C447A"/>
    <w:rsid w:val="003C622B"/>
    <w:rsid w:val="003C636C"/>
    <w:rsid w:val="003C698A"/>
    <w:rsid w:val="003C69FA"/>
    <w:rsid w:val="003C6A08"/>
    <w:rsid w:val="003C6DEC"/>
    <w:rsid w:val="003C7633"/>
    <w:rsid w:val="003C775D"/>
    <w:rsid w:val="003C77B3"/>
    <w:rsid w:val="003C790E"/>
    <w:rsid w:val="003C79D5"/>
    <w:rsid w:val="003D055F"/>
    <w:rsid w:val="003D0653"/>
    <w:rsid w:val="003D07BD"/>
    <w:rsid w:val="003D0C69"/>
    <w:rsid w:val="003D0E4F"/>
    <w:rsid w:val="003D150F"/>
    <w:rsid w:val="003D1DF0"/>
    <w:rsid w:val="003D21C3"/>
    <w:rsid w:val="003D2640"/>
    <w:rsid w:val="003D2B29"/>
    <w:rsid w:val="003D2CCE"/>
    <w:rsid w:val="003D2E12"/>
    <w:rsid w:val="003D30E9"/>
    <w:rsid w:val="003D3A00"/>
    <w:rsid w:val="003D4098"/>
    <w:rsid w:val="003D4F0A"/>
    <w:rsid w:val="003D5091"/>
    <w:rsid w:val="003D55CB"/>
    <w:rsid w:val="003D5733"/>
    <w:rsid w:val="003D5A32"/>
    <w:rsid w:val="003D706F"/>
    <w:rsid w:val="003D73C0"/>
    <w:rsid w:val="003D73E3"/>
    <w:rsid w:val="003D75CA"/>
    <w:rsid w:val="003D77B7"/>
    <w:rsid w:val="003D781E"/>
    <w:rsid w:val="003D7A3F"/>
    <w:rsid w:val="003E0D09"/>
    <w:rsid w:val="003E254F"/>
    <w:rsid w:val="003E30F6"/>
    <w:rsid w:val="003E31F5"/>
    <w:rsid w:val="003E3CE9"/>
    <w:rsid w:val="003E3FF6"/>
    <w:rsid w:val="003E4881"/>
    <w:rsid w:val="003E4E16"/>
    <w:rsid w:val="003E547B"/>
    <w:rsid w:val="003E5B5E"/>
    <w:rsid w:val="003E5B8F"/>
    <w:rsid w:val="003E5DCF"/>
    <w:rsid w:val="003E6780"/>
    <w:rsid w:val="003E6E7E"/>
    <w:rsid w:val="003E6F17"/>
    <w:rsid w:val="003E6F2E"/>
    <w:rsid w:val="003E6F3F"/>
    <w:rsid w:val="003E7410"/>
    <w:rsid w:val="003E7954"/>
    <w:rsid w:val="003E7DEB"/>
    <w:rsid w:val="003F0102"/>
    <w:rsid w:val="003F0180"/>
    <w:rsid w:val="003F085C"/>
    <w:rsid w:val="003F0AA3"/>
    <w:rsid w:val="003F0E82"/>
    <w:rsid w:val="003F1778"/>
    <w:rsid w:val="003F195E"/>
    <w:rsid w:val="003F2925"/>
    <w:rsid w:val="003F2A3A"/>
    <w:rsid w:val="003F2EB9"/>
    <w:rsid w:val="003F2EDA"/>
    <w:rsid w:val="003F3005"/>
    <w:rsid w:val="003F36F3"/>
    <w:rsid w:val="003F3836"/>
    <w:rsid w:val="003F3F77"/>
    <w:rsid w:val="003F43BE"/>
    <w:rsid w:val="003F4D5D"/>
    <w:rsid w:val="003F542C"/>
    <w:rsid w:val="003F5B14"/>
    <w:rsid w:val="003F5D1B"/>
    <w:rsid w:val="003F6759"/>
    <w:rsid w:val="003F6D60"/>
    <w:rsid w:val="003F7483"/>
    <w:rsid w:val="003F7576"/>
    <w:rsid w:val="003F7AB1"/>
    <w:rsid w:val="003F7B77"/>
    <w:rsid w:val="00400044"/>
    <w:rsid w:val="0040075F"/>
    <w:rsid w:val="004010E5"/>
    <w:rsid w:val="00401786"/>
    <w:rsid w:val="00401794"/>
    <w:rsid w:val="00402105"/>
    <w:rsid w:val="0040220A"/>
    <w:rsid w:val="0040238B"/>
    <w:rsid w:val="004024F4"/>
    <w:rsid w:val="004028BB"/>
    <w:rsid w:val="00402A02"/>
    <w:rsid w:val="00402EB1"/>
    <w:rsid w:val="004031D3"/>
    <w:rsid w:val="004033F0"/>
    <w:rsid w:val="00403742"/>
    <w:rsid w:val="004043DC"/>
    <w:rsid w:val="00404C7C"/>
    <w:rsid w:val="00404D46"/>
    <w:rsid w:val="00405254"/>
    <w:rsid w:val="00405B07"/>
    <w:rsid w:val="00405B4E"/>
    <w:rsid w:val="00406120"/>
    <w:rsid w:val="004064F3"/>
    <w:rsid w:val="0040667C"/>
    <w:rsid w:val="00406B63"/>
    <w:rsid w:val="0040748F"/>
    <w:rsid w:val="0040760E"/>
    <w:rsid w:val="00407624"/>
    <w:rsid w:val="0040766F"/>
    <w:rsid w:val="00407742"/>
    <w:rsid w:val="00407817"/>
    <w:rsid w:val="004100D6"/>
    <w:rsid w:val="0041050A"/>
    <w:rsid w:val="0041067F"/>
    <w:rsid w:val="004107C6"/>
    <w:rsid w:val="00410EA0"/>
    <w:rsid w:val="00410F1F"/>
    <w:rsid w:val="00411187"/>
    <w:rsid w:val="0041149F"/>
    <w:rsid w:val="004115B5"/>
    <w:rsid w:val="00412186"/>
    <w:rsid w:val="004122D2"/>
    <w:rsid w:val="004127E3"/>
    <w:rsid w:val="004128FD"/>
    <w:rsid w:val="00412F86"/>
    <w:rsid w:val="0041303A"/>
    <w:rsid w:val="004130B0"/>
    <w:rsid w:val="00413B9B"/>
    <w:rsid w:val="00413DBD"/>
    <w:rsid w:val="004140A1"/>
    <w:rsid w:val="0041433F"/>
    <w:rsid w:val="00414A70"/>
    <w:rsid w:val="00414C8B"/>
    <w:rsid w:val="004153D6"/>
    <w:rsid w:val="004164ED"/>
    <w:rsid w:val="004208F8"/>
    <w:rsid w:val="00420AA0"/>
    <w:rsid w:val="00421110"/>
    <w:rsid w:val="0042122D"/>
    <w:rsid w:val="00421377"/>
    <w:rsid w:val="00421C59"/>
    <w:rsid w:val="004220AA"/>
    <w:rsid w:val="00422416"/>
    <w:rsid w:val="00423043"/>
    <w:rsid w:val="0042306F"/>
    <w:rsid w:val="004238FF"/>
    <w:rsid w:val="00423C20"/>
    <w:rsid w:val="00425115"/>
    <w:rsid w:val="0042530B"/>
    <w:rsid w:val="0042579A"/>
    <w:rsid w:val="00425A47"/>
    <w:rsid w:val="00425B7C"/>
    <w:rsid w:val="00425E1C"/>
    <w:rsid w:val="00425E61"/>
    <w:rsid w:val="004266E9"/>
    <w:rsid w:val="004268C7"/>
    <w:rsid w:val="004270A1"/>
    <w:rsid w:val="004271D5"/>
    <w:rsid w:val="00427B46"/>
    <w:rsid w:val="00430731"/>
    <w:rsid w:val="00430990"/>
    <w:rsid w:val="00430A45"/>
    <w:rsid w:val="00430BB6"/>
    <w:rsid w:val="004313EA"/>
    <w:rsid w:val="00431845"/>
    <w:rsid w:val="004319AE"/>
    <w:rsid w:val="00431B71"/>
    <w:rsid w:val="00431C19"/>
    <w:rsid w:val="004328AC"/>
    <w:rsid w:val="00433241"/>
    <w:rsid w:val="00433375"/>
    <w:rsid w:val="004333E9"/>
    <w:rsid w:val="00433DEF"/>
    <w:rsid w:val="00433ECD"/>
    <w:rsid w:val="0043418C"/>
    <w:rsid w:val="00434219"/>
    <w:rsid w:val="00434440"/>
    <w:rsid w:val="004347F0"/>
    <w:rsid w:val="00434822"/>
    <w:rsid w:val="004349D0"/>
    <w:rsid w:val="00434D1B"/>
    <w:rsid w:val="00434DF2"/>
    <w:rsid w:val="004354A3"/>
    <w:rsid w:val="0043580A"/>
    <w:rsid w:val="0043590B"/>
    <w:rsid w:val="00435B3C"/>
    <w:rsid w:val="00435C19"/>
    <w:rsid w:val="00436677"/>
    <w:rsid w:val="0043731E"/>
    <w:rsid w:val="00437334"/>
    <w:rsid w:val="00437849"/>
    <w:rsid w:val="004406DD"/>
    <w:rsid w:val="00440A3F"/>
    <w:rsid w:val="00440A9A"/>
    <w:rsid w:val="00440F5D"/>
    <w:rsid w:val="004411D1"/>
    <w:rsid w:val="00441232"/>
    <w:rsid w:val="00441526"/>
    <w:rsid w:val="00441DB9"/>
    <w:rsid w:val="004429C9"/>
    <w:rsid w:val="00442F03"/>
    <w:rsid w:val="0044320E"/>
    <w:rsid w:val="00443CAE"/>
    <w:rsid w:val="00444086"/>
    <w:rsid w:val="00444F8F"/>
    <w:rsid w:val="00445060"/>
    <w:rsid w:val="004456DF"/>
    <w:rsid w:val="00445993"/>
    <w:rsid w:val="00445A84"/>
    <w:rsid w:val="00445DBA"/>
    <w:rsid w:val="0044727F"/>
    <w:rsid w:val="004474BF"/>
    <w:rsid w:val="00447549"/>
    <w:rsid w:val="004477C3"/>
    <w:rsid w:val="00447B7A"/>
    <w:rsid w:val="00447E04"/>
    <w:rsid w:val="0045172A"/>
    <w:rsid w:val="0045193B"/>
    <w:rsid w:val="00451C6F"/>
    <w:rsid w:val="00451CC7"/>
    <w:rsid w:val="00451DDE"/>
    <w:rsid w:val="004522AC"/>
    <w:rsid w:val="00452591"/>
    <w:rsid w:val="00452B36"/>
    <w:rsid w:val="0045320A"/>
    <w:rsid w:val="0045360B"/>
    <w:rsid w:val="004538D2"/>
    <w:rsid w:val="00453B71"/>
    <w:rsid w:val="00453CC0"/>
    <w:rsid w:val="00453E91"/>
    <w:rsid w:val="00453FAD"/>
    <w:rsid w:val="00454085"/>
    <w:rsid w:val="004545A1"/>
    <w:rsid w:val="00454DAC"/>
    <w:rsid w:val="0045549C"/>
    <w:rsid w:val="00455AED"/>
    <w:rsid w:val="00455B94"/>
    <w:rsid w:val="00456474"/>
    <w:rsid w:val="00456608"/>
    <w:rsid w:val="00456AA4"/>
    <w:rsid w:val="0045741B"/>
    <w:rsid w:val="0045778C"/>
    <w:rsid w:val="004578F1"/>
    <w:rsid w:val="00457E48"/>
    <w:rsid w:val="00457EC4"/>
    <w:rsid w:val="00457F8D"/>
    <w:rsid w:val="00460223"/>
    <w:rsid w:val="0046053B"/>
    <w:rsid w:val="00460A42"/>
    <w:rsid w:val="00460ADC"/>
    <w:rsid w:val="004611FC"/>
    <w:rsid w:val="0046240D"/>
    <w:rsid w:val="004626CB"/>
    <w:rsid w:val="0046273C"/>
    <w:rsid w:val="0046294A"/>
    <w:rsid w:val="0046313A"/>
    <w:rsid w:val="0046323C"/>
    <w:rsid w:val="004632EC"/>
    <w:rsid w:val="0046357C"/>
    <w:rsid w:val="00463922"/>
    <w:rsid w:val="00463E4B"/>
    <w:rsid w:val="004647A8"/>
    <w:rsid w:val="00465989"/>
    <w:rsid w:val="00465E1F"/>
    <w:rsid w:val="00465E74"/>
    <w:rsid w:val="00466479"/>
    <w:rsid w:val="0046681B"/>
    <w:rsid w:val="00467472"/>
    <w:rsid w:val="0046773D"/>
    <w:rsid w:val="004704D8"/>
    <w:rsid w:val="0047069A"/>
    <w:rsid w:val="00470A14"/>
    <w:rsid w:val="00470A50"/>
    <w:rsid w:val="00470F17"/>
    <w:rsid w:val="00470F9E"/>
    <w:rsid w:val="00471443"/>
    <w:rsid w:val="00471A39"/>
    <w:rsid w:val="00472069"/>
    <w:rsid w:val="00472B27"/>
    <w:rsid w:val="00472D90"/>
    <w:rsid w:val="00473146"/>
    <w:rsid w:val="00473197"/>
    <w:rsid w:val="004736D8"/>
    <w:rsid w:val="00473C67"/>
    <w:rsid w:val="00473DAC"/>
    <w:rsid w:val="00473FAA"/>
    <w:rsid w:val="00474465"/>
    <w:rsid w:val="00474BA6"/>
    <w:rsid w:val="00474C65"/>
    <w:rsid w:val="00475024"/>
    <w:rsid w:val="0047515A"/>
    <w:rsid w:val="00475577"/>
    <w:rsid w:val="00475616"/>
    <w:rsid w:val="00475907"/>
    <w:rsid w:val="004759A8"/>
    <w:rsid w:val="004766B2"/>
    <w:rsid w:val="004768C1"/>
    <w:rsid w:val="00476F51"/>
    <w:rsid w:val="00477303"/>
    <w:rsid w:val="004779F9"/>
    <w:rsid w:val="00480068"/>
    <w:rsid w:val="0048022E"/>
    <w:rsid w:val="0048032A"/>
    <w:rsid w:val="0048055B"/>
    <w:rsid w:val="004806E7"/>
    <w:rsid w:val="00480711"/>
    <w:rsid w:val="00480ADA"/>
    <w:rsid w:val="00481501"/>
    <w:rsid w:val="004816C1"/>
    <w:rsid w:val="00481D27"/>
    <w:rsid w:val="00481F15"/>
    <w:rsid w:val="004825C4"/>
    <w:rsid w:val="00482676"/>
    <w:rsid w:val="00483248"/>
    <w:rsid w:val="0048373E"/>
    <w:rsid w:val="00483AEA"/>
    <w:rsid w:val="00483B9C"/>
    <w:rsid w:val="00484244"/>
    <w:rsid w:val="004848C5"/>
    <w:rsid w:val="00484BD9"/>
    <w:rsid w:val="00484E42"/>
    <w:rsid w:val="00484FF0"/>
    <w:rsid w:val="004851F6"/>
    <w:rsid w:val="004852C4"/>
    <w:rsid w:val="004855CE"/>
    <w:rsid w:val="00486252"/>
    <w:rsid w:val="004862CA"/>
    <w:rsid w:val="004864EE"/>
    <w:rsid w:val="004865A0"/>
    <w:rsid w:val="00486B31"/>
    <w:rsid w:val="00486BE7"/>
    <w:rsid w:val="00486D65"/>
    <w:rsid w:val="00486F92"/>
    <w:rsid w:val="0048706B"/>
    <w:rsid w:val="00487743"/>
    <w:rsid w:val="00487908"/>
    <w:rsid w:val="0049043F"/>
    <w:rsid w:val="004904FE"/>
    <w:rsid w:val="0049061E"/>
    <w:rsid w:val="004908BA"/>
    <w:rsid w:val="00490C01"/>
    <w:rsid w:val="00491485"/>
    <w:rsid w:val="0049165F"/>
    <w:rsid w:val="004926D3"/>
    <w:rsid w:val="0049273F"/>
    <w:rsid w:val="004931CA"/>
    <w:rsid w:val="00493C6F"/>
    <w:rsid w:val="00493E02"/>
    <w:rsid w:val="00494466"/>
    <w:rsid w:val="0049456E"/>
    <w:rsid w:val="004945FB"/>
    <w:rsid w:val="0049524E"/>
    <w:rsid w:val="0049540C"/>
    <w:rsid w:val="0049543C"/>
    <w:rsid w:val="00495450"/>
    <w:rsid w:val="00496198"/>
    <w:rsid w:val="00496669"/>
    <w:rsid w:val="004968FE"/>
    <w:rsid w:val="00496BC3"/>
    <w:rsid w:val="00496C8B"/>
    <w:rsid w:val="004974CD"/>
    <w:rsid w:val="0049767A"/>
    <w:rsid w:val="00497826"/>
    <w:rsid w:val="00497913"/>
    <w:rsid w:val="004979E5"/>
    <w:rsid w:val="004A01DF"/>
    <w:rsid w:val="004A0CC7"/>
    <w:rsid w:val="004A11ED"/>
    <w:rsid w:val="004A131E"/>
    <w:rsid w:val="004A1491"/>
    <w:rsid w:val="004A1640"/>
    <w:rsid w:val="004A1976"/>
    <w:rsid w:val="004A26D4"/>
    <w:rsid w:val="004A32E3"/>
    <w:rsid w:val="004A3555"/>
    <w:rsid w:val="004A362B"/>
    <w:rsid w:val="004A3917"/>
    <w:rsid w:val="004A4533"/>
    <w:rsid w:val="004A597F"/>
    <w:rsid w:val="004A5C01"/>
    <w:rsid w:val="004A68D0"/>
    <w:rsid w:val="004A71EE"/>
    <w:rsid w:val="004A7C5F"/>
    <w:rsid w:val="004A7CE1"/>
    <w:rsid w:val="004B0625"/>
    <w:rsid w:val="004B06EC"/>
    <w:rsid w:val="004B09C9"/>
    <w:rsid w:val="004B0E9C"/>
    <w:rsid w:val="004B12E6"/>
    <w:rsid w:val="004B1B0D"/>
    <w:rsid w:val="004B1EC3"/>
    <w:rsid w:val="004B26B4"/>
    <w:rsid w:val="004B2846"/>
    <w:rsid w:val="004B2BA7"/>
    <w:rsid w:val="004B3052"/>
    <w:rsid w:val="004B33C4"/>
    <w:rsid w:val="004B36AB"/>
    <w:rsid w:val="004B3A6F"/>
    <w:rsid w:val="004B3D97"/>
    <w:rsid w:val="004B441A"/>
    <w:rsid w:val="004B49BC"/>
    <w:rsid w:val="004B4A9D"/>
    <w:rsid w:val="004B52D6"/>
    <w:rsid w:val="004B55DB"/>
    <w:rsid w:val="004B594C"/>
    <w:rsid w:val="004B607F"/>
    <w:rsid w:val="004B6774"/>
    <w:rsid w:val="004B69B1"/>
    <w:rsid w:val="004B6A7A"/>
    <w:rsid w:val="004B6BA0"/>
    <w:rsid w:val="004B6F6F"/>
    <w:rsid w:val="004B7079"/>
    <w:rsid w:val="004B7209"/>
    <w:rsid w:val="004B720F"/>
    <w:rsid w:val="004B7224"/>
    <w:rsid w:val="004B7923"/>
    <w:rsid w:val="004C0008"/>
    <w:rsid w:val="004C00D7"/>
    <w:rsid w:val="004C019E"/>
    <w:rsid w:val="004C034C"/>
    <w:rsid w:val="004C0694"/>
    <w:rsid w:val="004C0F49"/>
    <w:rsid w:val="004C11F5"/>
    <w:rsid w:val="004C1287"/>
    <w:rsid w:val="004C1D30"/>
    <w:rsid w:val="004C21BA"/>
    <w:rsid w:val="004C2642"/>
    <w:rsid w:val="004C3F76"/>
    <w:rsid w:val="004C41EE"/>
    <w:rsid w:val="004C4319"/>
    <w:rsid w:val="004C45AC"/>
    <w:rsid w:val="004C48AC"/>
    <w:rsid w:val="004C4A32"/>
    <w:rsid w:val="004C4CD7"/>
    <w:rsid w:val="004C4CE7"/>
    <w:rsid w:val="004C6295"/>
    <w:rsid w:val="004C66AE"/>
    <w:rsid w:val="004C6974"/>
    <w:rsid w:val="004C6987"/>
    <w:rsid w:val="004C6ACE"/>
    <w:rsid w:val="004C6D7B"/>
    <w:rsid w:val="004C76D0"/>
    <w:rsid w:val="004D0081"/>
    <w:rsid w:val="004D07BC"/>
    <w:rsid w:val="004D0D2E"/>
    <w:rsid w:val="004D1620"/>
    <w:rsid w:val="004D19F0"/>
    <w:rsid w:val="004D1C37"/>
    <w:rsid w:val="004D205E"/>
    <w:rsid w:val="004D2351"/>
    <w:rsid w:val="004D2831"/>
    <w:rsid w:val="004D2835"/>
    <w:rsid w:val="004D2E2D"/>
    <w:rsid w:val="004D326D"/>
    <w:rsid w:val="004D33EA"/>
    <w:rsid w:val="004D34F7"/>
    <w:rsid w:val="004D3715"/>
    <w:rsid w:val="004D3C50"/>
    <w:rsid w:val="004D3C53"/>
    <w:rsid w:val="004D47CB"/>
    <w:rsid w:val="004D4AA8"/>
    <w:rsid w:val="004D4AEF"/>
    <w:rsid w:val="004D4E5E"/>
    <w:rsid w:val="004D5137"/>
    <w:rsid w:val="004D53CA"/>
    <w:rsid w:val="004D597F"/>
    <w:rsid w:val="004D61FE"/>
    <w:rsid w:val="004D6EEE"/>
    <w:rsid w:val="004D75BE"/>
    <w:rsid w:val="004D75E1"/>
    <w:rsid w:val="004D768F"/>
    <w:rsid w:val="004D7CDB"/>
    <w:rsid w:val="004E00FA"/>
    <w:rsid w:val="004E01F4"/>
    <w:rsid w:val="004E027C"/>
    <w:rsid w:val="004E074F"/>
    <w:rsid w:val="004E1361"/>
    <w:rsid w:val="004E1900"/>
    <w:rsid w:val="004E1B9B"/>
    <w:rsid w:val="004E1CDE"/>
    <w:rsid w:val="004E1E58"/>
    <w:rsid w:val="004E1F88"/>
    <w:rsid w:val="004E22C1"/>
    <w:rsid w:val="004E2498"/>
    <w:rsid w:val="004E2568"/>
    <w:rsid w:val="004E2738"/>
    <w:rsid w:val="004E2ECF"/>
    <w:rsid w:val="004E2F45"/>
    <w:rsid w:val="004E3621"/>
    <w:rsid w:val="004E37BF"/>
    <w:rsid w:val="004E3A3B"/>
    <w:rsid w:val="004E3D0C"/>
    <w:rsid w:val="004E3DBD"/>
    <w:rsid w:val="004E434A"/>
    <w:rsid w:val="004E434B"/>
    <w:rsid w:val="004E4701"/>
    <w:rsid w:val="004E4C92"/>
    <w:rsid w:val="004E50A9"/>
    <w:rsid w:val="004E53AF"/>
    <w:rsid w:val="004E5C4C"/>
    <w:rsid w:val="004E626F"/>
    <w:rsid w:val="004E628A"/>
    <w:rsid w:val="004E7976"/>
    <w:rsid w:val="004E7B5C"/>
    <w:rsid w:val="004E7C2C"/>
    <w:rsid w:val="004E7F29"/>
    <w:rsid w:val="004F0313"/>
    <w:rsid w:val="004F037E"/>
    <w:rsid w:val="004F076A"/>
    <w:rsid w:val="004F08AD"/>
    <w:rsid w:val="004F0ADD"/>
    <w:rsid w:val="004F1250"/>
    <w:rsid w:val="004F20D3"/>
    <w:rsid w:val="004F23FD"/>
    <w:rsid w:val="004F2F79"/>
    <w:rsid w:val="004F2FCE"/>
    <w:rsid w:val="004F308B"/>
    <w:rsid w:val="004F3334"/>
    <w:rsid w:val="004F33C2"/>
    <w:rsid w:val="004F37FC"/>
    <w:rsid w:val="004F3B9D"/>
    <w:rsid w:val="004F43CB"/>
    <w:rsid w:val="004F4BBB"/>
    <w:rsid w:val="004F5DD4"/>
    <w:rsid w:val="004F5FDB"/>
    <w:rsid w:val="004F61EB"/>
    <w:rsid w:val="004F6599"/>
    <w:rsid w:val="004F6982"/>
    <w:rsid w:val="004F6D40"/>
    <w:rsid w:val="004F6E6D"/>
    <w:rsid w:val="004F7AF6"/>
    <w:rsid w:val="004F7C4A"/>
    <w:rsid w:val="00500106"/>
    <w:rsid w:val="00500836"/>
    <w:rsid w:val="00500CC0"/>
    <w:rsid w:val="00501740"/>
    <w:rsid w:val="005019E3"/>
    <w:rsid w:val="00501A9F"/>
    <w:rsid w:val="00501F03"/>
    <w:rsid w:val="00501FC3"/>
    <w:rsid w:val="0050261F"/>
    <w:rsid w:val="00502C4F"/>
    <w:rsid w:val="00502E15"/>
    <w:rsid w:val="0050314B"/>
    <w:rsid w:val="005038F7"/>
    <w:rsid w:val="00503BBE"/>
    <w:rsid w:val="00503F21"/>
    <w:rsid w:val="005040D5"/>
    <w:rsid w:val="0050440B"/>
    <w:rsid w:val="00505E97"/>
    <w:rsid w:val="00505F25"/>
    <w:rsid w:val="0050601B"/>
    <w:rsid w:val="005060A5"/>
    <w:rsid w:val="00506A44"/>
    <w:rsid w:val="00506C97"/>
    <w:rsid w:val="00507464"/>
    <w:rsid w:val="00507489"/>
    <w:rsid w:val="00510037"/>
    <w:rsid w:val="00510270"/>
    <w:rsid w:val="0051079F"/>
    <w:rsid w:val="00510AED"/>
    <w:rsid w:val="00510DC3"/>
    <w:rsid w:val="00510F1B"/>
    <w:rsid w:val="00510F4A"/>
    <w:rsid w:val="005115B9"/>
    <w:rsid w:val="00511765"/>
    <w:rsid w:val="00511A4C"/>
    <w:rsid w:val="00511DAD"/>
    <w:rsid w:val="005121F5"/>
    <w:rsid w:val="005125B7"/>
    <w:rsid w:val="00512758"/>
    <w:rsid w:val="0051309F"/>
    <w:rsid w:val="0051403A"/>
    <w:rsid w:val="00514170"/>
    <w:rsid w:val="00514D9D"/>
    <w:rsid w:val="00515293"/>
    <w:rsid w:val="005158F3"/>
    <w:rsid w:val="0051592D"/>
    <w:rsid w:val="00515DF1"/>
    <w:rsid w:val="00517678"/>
    <w:rsid w:val="005176C7"/>
    <w:rsid w:val="00517842"/>
    <w:rsid w:val="00517C1E"/>
    <w:rsid w:val="005202E7"/>
    <w:rsid w:val="00520382"/>
    <w:rsid w:val="005205DF"/>
    <w:rsid w:val="0052075F"/>
    <w:rsid w:val="00521AAA"/>
    <w:rsid w:val="0052225D"/>
    <w:rsid w:val="005222A0"/>
    <w:rsid w:val="005223C9"/>
    <w:rsid w:val="00522961"/>
    <w:rsid w:val="00522D76"/>
    <w:rsid w:val="00522E63"/>
    <w:rsid w:val="00523819"/>
    <w:rsid w:val="005238C7"/>
    <w:rsid w:val="00524288"/>
    <w:rsid w:val="005247CF"/>
    <w:rsid w:val="0052494C"/>
    <w:rsid w:val="00524BEB"/>
    <w:rsid w:val="00524BF6"/>
    <w:rsid w:val="00524F1D"/>
    <w:rsid w:val="0052589B"/>
    <w:rsid w:val="00525DB7"/>
    <w:rsid w:val="00525F3D"/>
    <w:rsid w:val="00525F59"/>
    <w:rsid w:val="00526B28"/>
    <w:rsid w:val="00527198"/>
    <w:rsid w:val="0052754D"/>
    <w:rsid w:val="00527669"/>
    <w:rsid w:val="00527B83"/>
    <w:rsid w:val="00530A4F"/>
    <w:rsid w:val="00530A69"/>
    <w:rsid w:val="00530AD9"/>
    <w:rsid w:val="00530CED"/>
    <w:rsid w:val="00531341"/>
    <w:rsid w:val="00531515"/>
    <w:rsid w:val="005318A5"/>
    <w:rsid w:val="00531CD3"/>
    <w:rsid w:val="00531CD4"/>
    <w:rsid w:val="00531E63"/>
    <w:rsid w:val="00531E9E"/>
    <w:rsid w:val="005321DC"/>
    <w:rsid w:val="005323D7"/>
    <w:rsid w:val="00532E46"/>
    <w:rsid w:val="00532FDD"/>
    <w:rsid w:val="00533336"/>
    <w:rsid w:val="00533985"/>
    <w:rsid w:val="00533A71"/>
    <w:rsid w:val="00533EA8"/>
    <w:rsid w:val="00534A20"/>
    <w:rsid w:val="00534D1C"/>
    <w:rsid w:val="005351CE"/>
    <w:rsid w:val="00535D0C"/>
    <w:rsid w:val="005363F4"/>
    <w:rsid w:val="005364D3"/>
    <w:rsid w:val="0053682B"/>
    <w:rsid w:val="005368C6"/>
    <w:rsid w:val="005368CE"/>
    <w:rsid w:val="005371A2"/>
    <w:rsid w:val="00537BF9"/>
    <w:rsid w:val="005404C6"/>
    <w:rsid w:val="0054054E"/>
    <w:rsid w:val="00540AEE"/>
    <w:rsid w:val="00540EEC"/>
    <w:rsid w:val="00541453"/>
    <w:rsid w:val="0054187A"/>
    <w:rsid w:val="00541AD0"/>
    <w:rsid w:val="00541B4C"/>
    <w:rsid w:val="005420F7"/>
    <w:rsid w:val="0054242B"/>
    <w:rsid w:val="0054277F"/>
    <w:rsid w:val="00542B36"/>
    <w:rsid w:val="00542C31"/>
    <w:rsid w:val="00543770"/>
    <w:rsid w:val="0054388B"/>
    <w:rsid w:val="00543B26"/>
    <w:rsid w:val="00544149"/>
    <w:rsid w:val="00544514"/>
    <w:rsid w:val="0054499F"/>
    <w:rsid w:val="005449F0"/>
    <w:rsid w:val="00545519"/>
    <w:rsid w:val="00545683"/>
    <w:rsid w:val="005457F5"/>
    <w:rsid w:val="00545A72"/>
    <w:rsid w:val="00545C8E"/>
    <w:rsid w:val="00545ED9"/>
    <w:rsid w:val="00546A96"/>
    <w:rsid w:val="00546D22"/>
    <w:rsid w:val="00547464"/>
    <w:rsid w:val="00547CE8"/>
    <w:rsid w:val="00550162"/>
    <w:rsid w:val="005509A7"/>
    <w:rsid w:val="00550AC4"/>
    <w:rsid w:val="00550B7F"/>
    <w:rsid w:val="00550C6E"/>
    <w:rsid w:val="00551382"/>
    <w:rsid w:val="00552854"/>
    <w:rsid w:val="00552A46"/>
    <w:rsid w:val="00552FEF"/>
    <w:rsid w:val="0055375C"/>
    <w:rsid w:val="00553FBC"/>
    <w:rsid w:val="0055401B"/>
    <w:rsid w:val="005550D9"/>
    <w:rsid w:val="00555539"/>
    <w:rsid w:val="0055559C"/>
    <w:rsid w:val="00555722"/>
    <w:rsid w:val="00555AA2"/>
    <w:rsid w:val="00555C7E"/>
    <w:rsid w:val="00557424"/>
    <w:rsid w:val="00557912"/>
    <w:rsid w:val="00557D3A"/>
    <w:rsid w:val="00557EC9"/>
    <w:rsid w:val="00560598"/>
    <w:rsid w:val="005609E1"/>
    <w:rsid w:val="005610D8"/>
    <w:rsid w:val="00561315"/>
    <w:rsid w:val="0056152D"/>
    <w:rsid w:val="00561B4C"/>
    <w:rsid w:val="0056262A"/>
    <w:rsid w:val="0056289D"/>
    <w:rsid w:val="00562CBA"/>
    <w:rsid w:val="0056329D"/>
    <w:rsid w:val="00563480"/>
    <w:rsid w:val="00563A66"/>
    <w:rsid w:val="00563BDE"/>
    <w:rsid w:val="00563CDB"/>
    <w:rsid w:val="00563D00"/>
    <w:rsid w:val="0056453F"/>
    <w:rsid w:val="00564BA9"/>
    <w:rsid w:val="00564D78"/>
    <w:rsid w:val="00564EF4"/>
    <w:rsid w:val="005652C3"/>
    <w:rsid w:val="00565807"/>
    <w:rsid w:val="00565CAD"/>
    <w:rsid w:val="00566856"/>
    <w:rsid w:val="00566C3F"/>
    <w:rsid w:val="005672E8"/>
    <w:rsid w:val="005674BE"/>
    <w:rsid w:val="005675C4"/>
    <w:rsid w:val="00567997"/>
    <w:rsid w:val="00570A88"/>
    <w:rsid w:val="00570AE3"/>
    <w:rsid w:val="005711B2"/>
    <w:rsid w:val="005712C7"/>
    <w:rsid w:val="005714B2"/>
    <w:rsid w:val="005719AE"/>
    <w:rsid w:val="00571A71"/>
    <w:rsid w:val="00571C85"/>
    <w:rsid w:val="00571CEF"/>
    <w:rsid w:val="005720F5"/>
    <w:rsid w:val="005728E6"/>
    <w:rsid w:val="00572995"/>
    <w:rsid w:val="00572BEC"/>
    <w:rsid w:val="00572D03"/>
    <w:rsid w:val="0057343B"/>
    <w:rsid w:val="00574846"/>
    <w:rsid w:val="005752C3"/>
    <w:rsid w:val="005755EC"/>
    <w:rsid w:val="00575A2E"/>
    <w:rsid w:val="00575B87"/>
    <w:rsid w:val="005762D3"/>
    <w:rsid w:val="005766A0"/>
    <w:rsid w:val="00576EF0"/>
    <w:rsid w:val="00577ED2"/>
    <w:rsid w:val="00577FA3"/>
    <w:rsid w:val="00580583"/>
    <w:rsid w:val="00580717"/>
    <w:rsid w:val="00580ACC"/>
    <w:rsid w:val="0058164C"/>
    <w:rsid w:val="00581C21"/>
    <w:rsid w:val="0058253F"/>
    <w:rsid w:val="00582E45"/>
    <w:rsid w:val="00582F9D"/>
    <w:rsid w:val="005831C5"/>
    <w:rsid w:val="00583278"/>
    <w:rsid w:val="00583A94"/>
    <w:rsid w:val="00583B36"/>
    <w:rsid w:val="00583B57"/>
    <w:rsid w:val="00583C78"/>
    <w:rsid w:val="00584596"/>
    <w:rsid w:val="005845F9"/>
    <w:rsid w:val="005846C4"/>
    <w:rsid w:val="00584B15"/>
    <w:rsid w:val="0058598A"/>
    <w:rsid w:val="00585DA5"/>
    <w:rsid w:val="00585E05"/>
    <w:rsid w:val="005866BD"/>
    <w:rsid w:val="00586B09"/>
    <w:rsid w:val="00587325"/>
    <w:rsid w:val="00587508"/>
    <w:rsid w:val="0058751B"/>
    <w:rsid w:val="005875CD"/>
    <w:rsid w:val="005877DE"/>
    <w:rsid w:val="005905C9"/>
    <w:rsid w:val="00590602"/>
    <w:rsid w:val="00590FF1"/>
    <w:rsid w:val="005917C4"/>
    <w:rsid w:val="005919C8"/>
    <w:rsid w:val="00591ED7"/>
    <w:rsid w:val="00592514"/>
    <w:rsid w:val="00592579"/>
    <w:rsid w:val="00592838"/>
    <w:rsid w:val="00592947"/>
    <w:rsid w:val="00592BAF"/>
    <w:rsid w:val="00592E23"/>
    <w:rsid w:val="00593257"/>
    <w:rsid w:val="005938F9"/>
    <w:rsid w:val="00593A74"/>
    <w:rsid w:val="00593DF6"/>
    <w:rsid w:val="005947AC"/>
    <w:rsid w:val="005947E7"/>
    <w:rsid w:val="005948C9"/>
    <w:rsid w:val="00594B06"/>
    <w:rsid w:val="00595C45"/>
    <w:rsid w:val="0059608A"/>
    <w:rsid w:val="00596173"/>
    <w:rsid w:val="005961DA"/>
    <w:rsid w:val="0059669A"/>
    <w:rsid w:val="00597096"/>
    <w:rsid w:val="00597252"/>
    <w:rsid w:val="005976B7"/>
    <w:rsid w:val="005A0EEE"/>
    <w:rsid w:val="005A0EFD"/>
    <w:rsid w:val="005A1451"/>
    <w:rsid w:val="005A1EE2"/>
    <w:rsid w:val="005A26A9"/>
    <w:rsid w:val="005A2EDB"/>
    <w:rsid w:val="005A3207"/>
    <w:rsid w:val="005A3223"/>
    <w:rsid w:val="005A3282"/>
    <w:rsid w:val="005A32D7"/>
    <w:rsid w:val="005A36DA"/>
    <w:rsid w:val="005A3709"/>
    <w:rsid w:val="005A39EF"/>
    <w:rsid w:val="005A3BEE"/>
    <w:rsid w:val="005A476A"/>
    <w:rsid w:val="005A4ADE"/>
    <w:rsid w:val="005A54A8"/>
    <w:rsid w:val="005A617E"/>
    <w:rsid w:val="005A6C2B"/>
    <w:rsid w:val="005A77ED"/>
    <w:rsid w:val="005A7C21"/>
    <w:rsid w:val="005A7C51"/>
    <w:rsid w:val="005B056B"/>
    <w:rsid w:val="005B09D7"/>
    <w:rsid w:val="005B200F"/>
    <w:rsid w:val="005B202E"/>
    <w:rsid w:val="005B2427"/>
    <w:rsid w:val="005B257F"/>
    <w:rsid w:val="005B2876"/>
    <w:rsid w:val="005B2F4E"/>
    <w:rsid w:val="005B330A"/>
    <w:rsid w:val="005B341C"/>
    <w:rsid w:val="005B34DA"/>
    <w:rsid w:val="005B3B26"/>
    <w:rsid w:val="005B4EDC"/>
    <w:rsid w:val="005B4F0A"/>
    <w:rsid w:val="005B52D4"/>
    <w:rsid w:val="005B5984"/>
    <w:rsid w:val="005B6EBF"/>
    <w:rsid w:val="005B6F34"/>
    <w:rsid w:val="005C0937"/>
    <w:rsid w:val="005C0DBE"/>
    <w:rsid w:val="005C18F9"/>
    <w:rsid w:val="005C20FD"/>
    <w:rsid w:val="005C2253"/>
    <w:rsid w:val="005C28EE"/>
    <w:rsid w:val="005C2A40"/>
    <w:rsid w:val="005C3A1F"/>
    <w:rsid w:val="005C3DB7"/>
    <w:rsid w:val="005C3FBC"/>
    <w:rsid w:val="005C4118"/>
    <w:rsid w:val="005C4509"/>
    <w:rsid w:val="005C46B5"/>
    <w:rsid w:val="005C5533"/>
    <w:rsid w:val="005C5792"/>
    <w:rsid w:val="005C615B"/>
    <w:rsid w:val="005C68EB"/>
    <w:rsid w:val="005C6B42"/>
    <w:rsid w:val="005C72A9"/>
    <w:rsid w:val="005C771C"/>
    <w:rsid w:val="005C778C"/>
    <w:rsid w:val="005D0312"/>
    <w:rsid w:val="005D051B"/>
    <w:rsid w:val="005D092F"/>
    <w:rsid w:val="005D16FB"/>
    <w:rsid w:val="005D170B"/>
    <w:rsid w:val="005D1954"/>
    <w:rsid w:val="005D1CCB"/>
    <w:rsid w:val="005D1F25"/>
    <w:rsid w:val="005D2302"/>
    <w:rsid w:val="005D2CC8"/>
    <w:rsid w:val="005D3180"/>
    <w:rsid w:val="005D31FF"/>
    <w:rsid w:val="005D3A98"/>
    <w:rsid w:val="005D3B91"/>
    <w:rsid w:val="005D3C04"/>
    <w:rsid w:val="005D4628"/>
    <w:rsid w:val="005D4642"/>
    <w:rsid w:val="005D5313"/>
    <w:rsid w:val="005D5332"/>
    <w:rsid w:val="005D5D6D"/>
    <w:rsid w:val="005D6168"/>
    <w:rsid w:val="005D6612"/>
    <w:rsid w:val="005D6707"/>
    <w:rsid w:val="005D694C"/>
    <w:rsid w:val="005D6C72"/>
    <w:rsid w:val="005D77F7"/>
    <w:rsid w:val="005D7979"/>
    <w:rsid w:val="005D797F"/>
    <w:rsid w:val="005D7BEC"/>
    <w:rsid w:val="005D7EFF"/>
    <w:rsid w:val="005E06CA"/>
    <w:rsid w:val="005E0726"/>
    <w:rsid w:val="005E0925"/>
    <w:rsid w:val="005E0D6F"/>
    <w:rsid w:val="005E0DA6"/>
    <w:rsid w:val="005E0F73"/>
    <w:rsid w:val="005E1144"/>
    <w:rsid w:val="005E1AD6"/>
    <w:rsid w:val="005E241C"/>
    <w:rsid w:val="005E2833"/>
    <w:rsid w:val="005E2994"/>
    <w:rsid w:val="005E2B73"/>
    <w:rsid w:val="005E2EB7"/>
    <w:rsid w:val="005E30F1"/>
    <w:rsid w:val="005E368B"/>
    <w:rsid w:val="005E377B"/>
    <w:rsid w:val="005E3FA0"/>
    <w:rsid w:val="005E4662"/>
    <w:rsid w:val="005E46FD"/>
    <w:rsid w:val="005E4742"/>
    <w:rsid w:val="005E47E1"/>
    <w:rsid w:val="005E48FD"/>
    <w:rsid w:val="005E4E69"/>
    <w:rsid w:val="005E565D"/>
    <w:rsid w:val="005E5A13"/>
    <w:rsid w:val="005E5A38"/>
    <w:rsid w:val="005E5B87"/>
    <w:rsid w:val="005E5CD5"/>
    <w:rsid w:val="005E5E99"/>
    <w:rsid w:val="005E5FEC"/>
    <w:rsid w:val="005E6372"/>
    <w:rsid w:val="005E6AD1"/>
    <w:rsid w:val="005E70C8"/>
    <w:rsid w:val="005E7302"/>
    <w:rsid w:val="005E7CB7"/>
    <w:rsid w:val="005E7FB3"/>
    <w:rsid w:val="005E7FC7"/>
    <w:rsid w:val="005F0127"/>
    <w:rsid w:val="005F02F6"/>
    <w:rsid w:val="005F09B7"/>
    <w:rsid w:val="005F0A4D"/>
    <w:rsid w:val="005F0B94"/>
    <w:rsid w:val="005F0DAB"/>
    <w:rsid w:val="005F1B9C"/>
    <w:rsid w:val="005F1EC7"/>
    <w:rsid w:val="005F210C"/>
    <w:rsid w:val="005F2464"/>
    <w:rsid w:val="005F2994"/>
    <w:rsid w:val="005F2A22"/>
    <w:rsid w:val="005F2E00"/>
    <w:rsid w:val="005F3515"/>
    <w:rsid w:val="005F3529"/>
    <w:rsid w:val="005F3624"/>
    <w:rsid w:val="005F3A09"/>
    <w:rsid w:val="005F3D07"/>
    <w:rsid w:val="005F3D0F"/>
    <w:rsid w:val="005F49D1"/>
    <w:rsid w:val="005F4DB0"/>
    <w:rsid w:val="005F506B"/>
    <w:rsid w:val="005F51C9"/>
    <w:rsid w:val="005F6018"/>
    <w:rsid w:val="005F6057"/>
    <w:rsid w:val="005F61A5"/>
    <w:rsid w:val="005F6D19"/>
    <w:rsid w:val="005F76CD"/>
    <w:rsid w:val="005F7A55"/>
    <w:rsid w:val="00600CAD"/>
    <w:rsid w:val="00600D68"/>
    <w:rsid w:val="006010B7"/>
    <w:rsid w:val="00601448"/>
    <w:rsid w:val="006018C1"/>
    <w:rsid w:val="00601C94"/>
    <w:rsid w:val="00601F6B"/>
    <w:rsid w:val="006020A4"/>
    <w:rsid w:val="00602D8F"/>
    <w:rsid w:val="00603602"/>
    <w:rsid w:val="006036E0"/>
    <w:rsid w:val="00603E46"/>
    <w:rsid w:val="00603FCE"/>
    <w:rsid w:val="00604049"/>
    <w:rsid w:val="0060421D"/>
    <w:rsid w:val="00604B13"/>
    <w:rsid w:val="00604DE9"/>
    <w:rsid w:val="0060518E"/>
    <w:rsid w:val="00605378"/>
    <w:rsid w:val="00605573"/>
    <w:rsid w:val="00605730"/>
    <w:rsid w:val="00605B64"/>
    <w:rsid w:val="006066AB"/>
    <w:rsid w:val="0060682F"/>
    <w:rsid w:val="00606AA7"/>
    <w:rsid w:val="00606E3F"/>
    <w:rsid w:val="006077D0"/>
    <w:rsid w:val="00607E7E"/>
    <w:rsid w:val="00607F3C"/>
    <w:rsid w:val="006101C3"/>
    <w:rsid w:val="00610525"/>
    <w:rsid w:val="0061055B"/>
    <w:rsid w:val="0061089C"/>
    <w:rsid w:val="00610B17"/>
    <w:rsid w:val="00610C2D"/>
    <w:rsid w:val="00610C7C"/>
    <w:rsid w:val="00610FAB"/>
    <w:rsid w:val="00611230"/>
    <w:rsid w:val="00611CD1"/>
    <w:rsid w:val="00611E8D"/>
    <w:rsid w:val="00611FA2"/>
    <w:rsid w:val="00612686"/>
    <w:rsid w:val="00612DD9"/>
    <w:rsid w:val="006133B9"/>
    <w:rsid w:val="006138E1"/>
    <w:rsid w:val="00613DA9"/>
    <w:rsid w:val="0061438A"/>
    <w:rsid w:val="00614413"/>
    <w:rsid w:val="00614431"/>
    <w:rsid w:val="0061485E"/>
    <w:rsid w:val="00614AD3"/>
    <w:rsid w:val="00614D30"/>
    <w:rsid w:val="00614E0E"/>
    <w:rsid w:val="00614E9F"/>
    <w:rsid w:val="00614F8D"/>
    <w:rsid w:val="00614FB4"/>
    <w:rsid w:val="00615533"/>
    <w:rsid w:val="00615A65"/>
    <w:rsid w:val="006167DD"/>
    <w:rsid w:val="00616D58"/>
    <w:rsid w:val="0061747A"/>
    <w:rsid w:val="00617E89"/>
    <w:rsid w:val="006201B4"/>
    <w:rsid w:val="00620858"/>
    <w:rsid w:val="0062088D"/>
    <w:rsid w:val="0062187E"/>
    <w:rsid w:val="00622C50"/>
    <w:rsid w:val="00622F7B"/>
    <w:rsid w:val="00623A2A"/>
    <w:rsid w:val="00623B92"/>
    <w:rsid w:val="006240FA"/>
    <w:rsid w:val="006241CC"/>
    <w:rsid w:val="00624EFE"/>
    <w:rsid w:val="00624F2D"/>
    <w:rsid w:val="00625F68"/>
    <w:rsid w:val="006260FA"/>
    <w:rsid w:val="0062681C"/>
    <w:rsid w:val="00626EB4"/>
    <w:rsid w:val="006270FF"/>
    <w:rsid w:val="00627188"/>
    <w:rsid w:val="006301B3"/>
    <w:rsid w:val="006304A4"/>
    <w:rsid w:val="0063069E"/>
    <w:rsid w:val="00630AD4"/>
    <w:rsid w:val="0063101A"/>
    <w:rsid w:val="006313F9"/>
    <w:rsid w:val="0063157C"/>
    <w:rsid w:val="00631D70"/>
    <w:rsid w:val="006327C1"/>
    <w:rsid w:val="00632910"/>
    <w:rsid w:val="00633187"/>
    <w:rsid w:val="006334E5"/>
    <w:rsid w:val="006335DA"/>
    <w:rsid w:val="0063410C"/>
    <w:rsid w:val="006345C6"/>
    <w:rsid w:val="00634706"/>
    <w:rsid w:val="00634C8D"/>
    <w:rsid w:val="006356D3"/>
    <w:rsid w:val="006358BF"/>
    <w:rsid w:val="00635D1E"/>
    <w:rsid w:val="006362BD"/>
    <w:rsid w:val="006362E7"/>
    <w:rsid w:val="0063655E"/>
    <w:rsid w:val="006365E8"/>
    <w:rsid w:val="006369AF"/>
    <w:rsid w:val="00636F4E"/>
    <w:rsid w:val="00637224"/>
    <w:rsid w:val="0063726B"/>
    <w:rsid w:val="00640204"/>
    <w:rsid w:val="00640324"/>
    <w:rsid w:val="006403A4"/>
    <w:rsid w:val="006403E4"/>
    <w:rsid w:val="0064057B"/>
    <w:rsid w:val="00640768"/>
    <w:rsid w:val="00640AA8"/>
    <w:rsid w:val="0064109B"/>
    <w:rsid w:val="00641956"/>
    <w:rsid w:val="00641BD1"/>
    <w:rsid w:val="0064214A"/>
    <w:rsid w:val="0064241E"/>
    <w:rsid w:val="0064297B"/>
    <w:rsid w:val="00642CF3"/>
    <w:rsid w:val="0064343A"/>
    <w:rsid w:val="00643C4C"/>
    <w:rsid w:val="00644384"/>
    <w:rsid w:val="006443D3"/>
    <w:rsid w:val="006444AB"/>
    <w:rsid w:val="00644650"/>
    <w:rsid w:val="006450E9"/>
    <w:rsid w:val="00645835"/>
    <w:rsid w:val="006471D1"/>
    <w:rsid w:val="00647767"/>
    <w:rsid w:val="00647779"/>
    <w:rsid w:val="0064780F"/>
    <w:rsid w:val="00650AA4"/>
    <w:rsid w:val="00651650"/>
    <w:rsid w:val="006517FD"/>
    <w:rsid w:val="00651FA0"/>
    <w:rsid w:val="0065222E"/>
    <w:rsid w:val="006522D3"/>
    <w:rsid w:val="00652406"/>
    <w:rsid w:val="00652490"/>
    <w:rsid w:val="00652F2D"/>
    <w:rsid w:val="00653270"/>
    <w:rsid w:val="006532A8"/>
    <w:rsid w:val="00653691"/>
    <w:rsid w:val="00653C95"/>
    <w:rsid w:val="00654059"/>
    <w:rsid w:val="006545B8"/>
    <w:rsid w:val="00656F89"/>
    <w:rsid w:val="00657709"/>
    <w:rsid w:val="00657AC3"/>
    <w:rsid w:val="00657FC3"/>
    <w:rsid w:val="006601CB"/>
    <w:rsid w:val="0066021E"/>
    <w:rsid w:val="00660DCB"/>
    <w:rsid w:val="00660FB9"/>
    <w:rsid w:val="0066157C"/>
    <w:rsid w:val="006615B4"/>
    <w:rsid w:val="00662728"/>
    <w:rsid w:val="0066345E"/>
    <w:rsid w:val="00664122"/>
    <w:rsid w:val="00664A68"/>
    <w:rsid w:val="00664C16"/>
    <w:rsid w:val="00664F59"/>
    <w:rsid w:val="00665149"/>
    <w:rsid w:val="00665622"/>
    <w:rsid w:val="00665645"/>
    <w:rsid w:val="00665725"/>
    <w:rsid w:val="006658B8"/>
    <w:rsid w:val="00666641"/>
    <w:rsid w:val="00667147"/>
    <w:rsid w:val="006676F5"/>
    <w:rsid w:val="00667E4B"/>
    <w:rsid w:val="0067007D"/>
    <w:rsid w:val="0067010A"/>
    <w:rsid w:val="006701CD"/>
    <w:rsid w:val="006704E2"/>
    <w:rsid w:val="00670E1D"/>
    <w:rsid w:val="006713B4"/>
    <w:rsid w:val="0067164D"/>
    <w:rsid w:val="00671DB4"/>
    <w:rsid w:val="00671FF8"/>
    <w:rsid w:val="0067213C"/>
    <w:rsid w:val="00672853"/>
    <w:rsid w:val="006729CF"/>
    <w:rsid w:val="00672F00"/>
    <w:rsid w:val="006730BE"/>
    <w:rsid w:val="00673360"/>
    <w:rsid w:val="00673380"/>
    <w:rsid w:val="006734B6"/>
    <w:rsid w:val="00673886"/>
    <w:rsid w:val="00673BCD"/>
    <w:rsid w:val="00673CEE"/>
    <w:rsid w:val="00673D28"/>
    <w:rsid w:val="006740C9"/>
    <w:rsid w:val="00674251"/>
    <w:rsid w:val="00674448"/>
    <w:rsid w:val="0067462B"/>
    <w:rsid w:val="006747BC"/>
    <w:rsid w:val="00674A93"/>
    <w:rsid w:val="00674BE9"/>
    <w:rsid w:val="00674ECC"/>
    <w:rsid w:val="00675436"/>
    <w:rsid w:val="006755A3"/>
    <w:rsid w:val="00675883"/>
    <w:rsid w:val="006761CA"/>
    <w:rsid w:val="00676361"/>
    <w:rsid w:val="0067687A"/>
    <w:rsid w:val="00676CCB"/>
    <w:rsid w:val="00676CCE"/>
    <w:rsid w:val="00677FC8"/>
    <w:rsid w:val="0068014E"/>
    <w:rsid w:val="006804A2"/>
    <w:rsid w:val="006809F2"/>
    <w:rsid w:val="0068112B"/>
    <w:rsid w:val="006811D6"/>
    <w:rsid w:val="0068184E"/>
    <w:rsid w:val="00681AD5"/>
    <w:rsid w:val="00681D29"/>
    <w:rsid w:val="00681DB7"/>
    <w:rsid w:val="00681DE0"/>
    <w:rsid w:val="00682591"/>
    <w:rsid w:val="0068298F"/>
    <w:rsid w:val="00682A3D"/>
    <w:rsid w:val="00682A59"/>
    <w:rsid w:val="00682EAF"/>
    <w:rsid w:val="00683A2F"/>
    <w:rsid w:val="00683CEC"/>
    <w:rsid w:val="00684394"/>
    <w:rsid w:val="0068471C"/>
    <w:rsid w:val="006847A7"/>
    <w:rsid w:val="00684A8A"/>
    <w:rsid w:val="00684C5B"/>
    <w:rsid w:val="00684E84"/>
    <w:rsid w:val="00684EBD"/>
    <w:rsid w:val="0068514B"/>
    <w:rsid w:val="00685326"/>
    <w:rsid w:val="0068541F"/>
    <w:rsid w:val="0068603B"/>
    <w:rsid w:val="00686B36"/>
    <w:rsid w:val="00686BC4"/>
    <w:rsid w:val="006872D3"/>
    <w:rsid w:val="0068769B"/>
    <w:rsid w:val="006876E0"/>
    <w:rsid w:val="006879D7"/>
    <w:rsid w:val="00687A5A"/>
    <w:rsid w:val="00687A93"/>
    <w:rsid w:val="00687B4E"/>
    <w:rsid w:val="00687D53"/>
    <w:rsid w:val="00690B99"/>
    <w:rsid w:val="0069137E"/>
    <w:rsid w:val="0069147F"/>
    <w:rsid w:val="00691C13"/>
    <w:rsid w:val="006921DE"/>
    <w:rsid w:val="006923CE"/>
    <w:rsid w:val="00692BB1"/>
    <w:rsid w:val="00692EE8"/>
    <w:rsid w:val="00693381"/>
    <w:rsid w:val="0069343F"/>
    <w:rsid w:val="00693679"/>
    <w:rsid w:val="00693878"/>
    <w:rsid w:val="00693AB8"/>
    <w:rsid w:val="0069462E"/>
    <w:rsid w:val="006949C3"/>
    <w:rsid w:val="00694D2F"/>
    <w:rsid w:val="00694DD8"/>
    <w:rsid w:val="00695036"/>
    <w:rsid w:val="0069570A"/>
    <w:rsid w:val="00695930"/>
    <w:rsid w:val="00695CFA"/>
    <w:rsid w:val="006960B7"/>
    <w:rsid w:val="006A0081"/>
    <w:rsid w:val="006A0251"/>
    <w:rsid w:val="006A0415"/>
    <w:rsid w:val="006A073E"/>
    <w:rsid w:val="006A0787"/>
    <w:rsid w:val="006A131F"/>
    <w:rsid w:val="006A1B09"/>
    <w:rsid w:val="006A1B2F"/>
    <w:rsid w:val="006A27DA"/>
    <w:rsid w:val="006A2FCD"/>
    <w:rsid w:val="006A3745"/>
    <w:rsid w:val="006A4452"/>
    <w:rsid w:val="006A4ACE"/>
    <w:rsid w:val="006A4BFF"/>
    <w:rsid w:val="006A5190"/>
    <w:rsid w:val="006A529A"/>
    <w:rsid w:val="006A5830"/>
    <w:rsid w:val="006A5A2A"/>
    <w:rsid w:val="006A5A8B"/>
    <w:rsid w:val="006A5F23"/>
    <w:rsid w:val="006A5FDA"/>
    <w:rsid w:val="006A65ED"/>
    <w:rsid w:val="006A6727"/>
    <w:rsid w:val="006A754B"/>
    <w:rsid w:val="006A7BE8"/>
    <w:rsid w:val="006A7CF0"/>
    <w:rsid w:val="006B0231"/>
    <w:rsid w:val="006B11CA"/>
    <w:rsid w:val="006B1AB0"/>
    <w:rsid w:val="006B1CD7"/>
    <w:rsid w:val="006B31A2"/>
    <w:rsid w:val="006B34B2"/>
    <w:rsid w:val="006B352C"/>
    <w:rsid w:val="006B386D"/>
    <w:rsid w:val="006B3C73"/>
    <w:rsid w:val="006B41FD"/>
    <w:rsid w:val="006B43DD"/>
    <w:rsid w:val="006B4464"/>
    <w:rsid w:val="006B466E"/>
    <w:rsid w:val="006B55DE"/>
    <w:rsid w:val="006B5A30"/>
    <w:rsid w:val="006B5A6E"/>
    <w:rsid w:val="006B5DA8"/>
    <w:rsid w:val="006B640E"/>
    <w:rsid w:val="006B67DF"/>
    <w:rsid w:val="006B6A56"/>
    <w:rsid w:val="006B6D43"/>
    <w:rsid w:val="006B6FC2"/>
    <w:rsid w:val="006B71B0"/>
    <w:rsid w:val="006B749E"/>
    <w:rsid w:val="006B7B57"/>
    <w:rsid w:val="006B7E62"/>
    <w:rsid w:val="006C0451"/>
    <w:rsid w:val="006C0FB3"/>
    <w:rsid w:val="006C16F2"/>
    <w:rsid w:val="006C18D9"/>
    <w:rsid w:val="006C18EF"/>
    <w:rsid w:val="006C1B59"/>
    <w:rsid w:val="006C2063"/>
    <w:rsid w:val="006C217F"/>
    <w:rsid w:val="006C23A2"/>
    <w:rsid w:val="006C245B"/>
    <w:rsid w:val="006C25E9"/>
    <w:rsid w:val="006C2B93"/>
    <w:rsid w:val="006C2B98"/>
    <w:rsid w:val="006C2F72"/>
    <w:rsid w:val="006C2FF0"/>
    <w:rsid w:val="006C2FF1"/>
    <w:rsid w:val="006C38E1"/>
    <w:rsid w:val="006C3EF3"/>
    <w:rsid w:val="006C3F57"/>
    <w:rsid w:val="006C404C"/>
    <w:rsid w:val="006C4B27"/>
    <w:rsid w:val="006C4BBA"/>
    <w:rsid w:val="006C5222"/>
    <w:rsid w:val="006C54A5"/>
    <w:rsid w:val="006C618A"/>
    <w:rsid w:val="006C6543"/>
    <w:rsid w:val="006C6E1E"/>
    <w:rsid w:val="006C7378"/>
    <w:rsid w:val="006C7484"/>
    <w:rsid w:val="006C749B"/>
    <w:rsid w:val="006C7535"/>
    <w:rsid w:val="006C767C"/>
    <w:rsid w:val="006C77B6"/>
    <w:rsid w:val="006C7847"/>
    <w:rsid w:val="006C7B31"/>
    <w:rsid w:val="006D00AA"/>
    <w:rsid w:val="006D01E6"/>
    <w:rsid w:val="006D04F9"/>
    <w:rsid w:val="006D0DAF"/>
    <w:rsid w:val="006D0E7C"/>
    <w:rsid w:val="006D10CE"/>
    <w:rsid w:val="006D2218"/>
    <w:rsid w:val="006D2300"/>
    <w:rsid w:val="006D258C"/>
    <w:rsid w:val="006D28B9"/>
    <w:rsid w:val="006D2A08"/>
    <w:rsid w:val="006D2E89"/>
    <w:rsid w:val="006D2F03"/>
    <w:rsid w:val="006D3594"/>
    <w:rsid w:val="006D3EF1"/>
    <w:rsid w:val="006D4CEE"/>
    <w:rsid w:val="006D50A8"/>
    <w:rsid w:val="006D55D6"/>
    <w:rsid w:val="006D56EB"/>
    <w:rsid w:val="006D58E9"/>
    <w:rsid w:val="006D61A1"/>
    <w:rsid w:val="006D6311"/>
    <w:rsid w:val="006D6966"/>
    <w:rsid w:val="006D6A14"/>
    <w:rsid w:val="006D6C34"/>
    <w:rsid w:val="006D6ED5"/>
    <w:rsid w:val="006D6F3F"/>
    <w:rsid w:val="006D7973"/>
    <w:rsid w:val="006E0F32"/>
    <w:rsid w:val="006E1044"/>
    <w:rsid w:val="006E172C"/>
    <w:rsid w:val="006E2035"/>
    <w:rsid w:val="006E216A"/>
    <w:rsid w:val="006E22C6"/>
    <w:rsid w:val="006E22CF"/>
    <w:rsid w:val="006E2329"/>
    <w:rsid w:val="006E245F"/>
    <w:rsid w:val="006E2CC3"/>
    <w:rsid w:val="006E2D77"/>
    <w:rsid w:val="006E3087"/>
    <w:rsid w:val="006E32C7"/>
    <w:rsid w:val="006E37EE"/>
    <w:rsid w:val="006E399A"/>
    <w:rsid w:val="006E3A0B"/>
    <w:rsid w:val="006E4639"/>
    <w:rsid w:val="006E4838"/>
    <w:rsid w:val="006E4982"/>
    <w:rsid w:val="006E55A9"/>
    <w:rsid w:val="006E5843"/>
    <w:rsid w:val="006E5BB4"/>
    <w:rsid w:val="006E5D6D"/>
    <w:rsid w:val="006E5DB2"/>
    <w:rsid w:val="006E645D"/>
    <w:rsid w:val="006E663F"/>
    <w:rsid w:val="006E69BB"/>
    <w:rsid w:val="006E7324"/>
    <w:rsid w:val="006E76D6"/>
    <w:rsid w:val="006E780A"/>
    <w:rsid w:val="006E7CD3"/>
    <w:rsid w:val="006E7F5F"/>
    <w:rsid w:val="006F051D"/>
    <w:rsid w:val="006F0C67"/>
    <w:rsid w:val="006F11A2"/>
    <w:rsid w:val="006F12C2"/>
    <w:rsid w:val="006F1C18"/>
    <w:rsid w:val="006F1E1C"/>
    <w:rsid w:val="006F251F"/>
    <w:rsid w:val="006F2B1F"/>
    <w:rsid w:val="006F3304"/>
    <w:rsid w:val="006F3484"/>
    <w:rsid w:val="006F47BC"/>
    <w:rsid w:val="006F635F"/>
    <w:rsid w:val="006F64B9"/>
    <w:rsid w:val="006F68CD"/>
    <w:rsid w:val="006F6A80"/>
    <w:rsid w:val="00700031"/>
    <w:rsid w:val="007003C2"/>
    <w:rsid w:val="00701321"/>
    <w:rsid w:val="00701365"/>
    <w:rsid w:val="0070162D"/>
    <w:rsid w:val="0070189B"/>
    <w:rsid w:val="00701B93"/>
    <w:rsid w:val="00701C45"/>
    <w:rsid w:val="0070212D"/>
    <w:rsid w:val="007021E5"/>
    <w:rsid w:val="0070254C"/>
    <w:rsid w:val="00702CC0"/>
    <w:rsid w:val="00703624"/>
    <w:rsid w:val="0070383F"/>
    <w:rsid w:val="00703C2C"/>
    <w:rsid w:val="00703F14"/>
    <w:rsid w:val="00704221"/>
    <w:rsid w:val="007043B8"/>
    <w:rsid w:val="007043CE"/>
    <w:rsid w:val="007047E3"/>
    <w:rsid w:val="00704A1D"/>
    <w:rsid w:val="00704C98"/>
    <w:rsid w:val="007052B6"/>
    <w:rsid w:val="00705436"/>
    <w:rsid w:val="00705CB6"/>
    <w:rsid w:val="00705F21"/>
    <w:rsid w:val="00706337"/>
    <w:rsid w:val="00706C15"/>
    <w:rsid w:val="00706E2B"/>
    <w:rsid w:val="00707261"/>
    <w:rsid w:val="0070779D"/>
    <w:rsid w:val="00707A54"/>
    <w:rsid w:val="00707D37"/>
    <w:rsid w:val="00710000"/>
    <w:rsid w:val="00710138"/>
    <w:rsid w:val="007101C2"/>
    <w:rsid w:val="007107CA"/>
    <w:rsid w:val="00711075"/>
    <w:rsid w:val="007117B3"/>
    <w:rsid w:val="00711A6B"/>
    <w:rsid w:val="00711AE4"/>
    <w:rsid w:val="0071247E"/>
    <w:rsid w:val="007125FC"/>
    <w:rsid w:val="00712FA3"/>
    <w:rsid w:val="00712FCA"/>
    <w:rsid w:val="00713705"/>
    <w:rsid w:val="00713AAE"/>
    <w:rsid w:val="00714B2E"/>
    <w:rsid w:val="00714DDE"/>
    <w:rsid w:val="00714EA2"/>
    <w:rsid w:val="00715346"/>
    <w:rsid w:val="00715DCB"/>
    <w:rsid w:val="00716C0E"/>
    <w:rsid w:val="00716DE9"/>
    <w:rsid w:val="00716DFD"/>
    <w:rsid w:val="00717FEB"/>
    <w:rsid w:val="007207E7"/>
    <w:rsid w:val="00720E2C"/>
    <w:rsid w:val="00721569"/>
    <w:rsid w:val="00721A39"/>
    <w:rsid w:val="00722A78"/>
    <w:rsid w:val="00722A9C"/>
    <w:rsid w:val="00722E00"/>
    <w:rsid w:val="00722E50"/>
    <w:rsid w:val="00722F25"/>
    <w:rsid w:val="007234A9"/>
    <w:rsid w:val="00723ACD"/>
    <w:rsid w:val="00723BAC"/>
    <w:rsid w:val="00723F46"/>
    <w:rsid w:val="00724031"/>
    <w:rsid w:val="0072475B"/>
    <w:rsid w:val="007249D9"/>
    <w:rsid w:val="00724C42"/>
    <w:rsid w:val="007251B0"/>
    <w:rsid w:val="007252E5"/>
    <w:rsid w:val="00725AC4"/>
    <w:rsid w:val="00725DE7"/>
    <w:rsid w:val="00726073"/>
    <w:rsid w:val="00726440"/>
    <w:rsid w:val="007269B9"/>
    <w:rsid w:val="0072739A"/>
    <w:rsid w:val="00727909"/>
    <w:rsid w:val="00727D85"/>
    <w:rsid w:val="00727EA0"/>
    <w:rsid w:val="0073046B"/>
    <w:rsid w:val="00730DA1"/>
    <w:rsid w:val="00731275"/>
    <w:rsid w:val="0073134C"/>
    <w:rsid w:val="0073143B"/>
    <w:rsid w:val="00731FFD"/>
    <w:rsid w:val="007321B8"/>
    <w:rsid w:val="007325A7"/>
    <w:rsid w:val="00732703"/>
    <w:rsid w:val="00732B70"/>
    <w:rsid w:val="007335C6"/>
    <w:rsid w:val="00734408"/>
    <w:rsid w:val="00735474"/>
    <w:rsid w:val="007354C6"/>
    <w:rsid w:val="0073571C"/>
    <w:rsid w:val="007357F2"/>
    <w:rsid w:val="007363C9"/>
    <w:rsid w:val="00736A3F"/>
    <w:rsid w:val="00736A9A"/>
    <w:rsid w:val="00736B5B"/>
    <w:rsid w:val="00736CA8"/>
    <w:rsid w:val="00736CBF"/>
    <w:rsid w:val="00736D9B"/>
    <w:rsid w:val="007370B0"/>
    <w:rsid w:val="0073718F"/>
    <w:rsid w:val="007377DB"/>
    <w:rsid w:val="007378AF"/>
    <w:rsid w:val="0073793A"/>
    <w:rsid w:val="00737C6A"/>
    <w:rsid w:val="00737D77"/>
    <w:rsid w:val="00737D7D"/>
    <w:rsid w:val="0074005E"/>
    <w:rsid w:val="00741322"/>
    <w:rsid w:val="00742087"/>
    <w:rsid w:val="0074225A"/>
    <w:rsid w:val="00742DA5"/>
    <w:rsid w:val="00743D7F"/>
    <w:rsid w:val="00743E9A"/>
    <w:rsid w:val="00744615"/>
    <w:rsid w:val="00744BBD"/>
    <w:rsid w:val="00744E7A"/>
    <w:rsid w:val="0074695A"/>
    <w:rsid w:val="00746FA3"/>
    <w:rsid w:val="0074703E"/>
    <w:rsid w:val="0074715A"/>
    <w:rsid w:val="0074740E"/>
    <w:rsid w:val="00747576"/>
    <w:rsid w:val="00747E7D"/>
    <w:rsid w:val="00747EE6"/>
    <w:rsid w:val="0075061A"/>
    <w:rsid w:val="007507B5"/>
    <w:rsid w:val="00750DF1"/>
    <w:rsid w:val="0075144C"/>
    <w:rsid w:val="007515C9"/>
    <w:rsid w:val="00751923"/>
    <w:rsid w:val="00751964"/>
    <w:rsid w:val="00751B43"/>
    <w:rsid w:val="00751BBE"/>
    <w:rsid w:val="00752118"/>
    <w:rsid w:val="00752C22"/>
    <w:rsid w:val="00753022"/>
    <w:rsid w:val="007530F4"/>
    <w:rsid w:val="0075384D"/>
    <w:rsid w:val="00753964"/>
    <w:rsid w:val="00754060"/>
    <w:rsid w:val="00754436"/>
    <w:rsid w:val="00754472"/>
    <w:rsid w:val="00754570"/>
    <w:rsid w:val="007545C8"/>
    <w:rsid w:val="0075471F"/>
    <w:rsid w:val="00754889"/>
    <w:rsid w:val="00754D02"/>
    <w:rsid w:val="007558B5"/>
    <w:rsid w:val="00755AE6"/>
    <w:rsid w:val="0075663A"/>
    <w:rsid w:val="00756A27"/>
    <w:rsid w:val="00757007"/>
    <w:rsid w:val="007572E4"/>
    <w:rsid w:val="00757307"/>
    <w:rsid w:val="007573BC"/>
    <w:rsid w:val="00757503"/>
    <w:rsid w:val="007601D3"/>
    <w:rsid w:val="0076118A"/>
    <w:rsid w:val="007611EC"/>
    <w:rsid w:val="00761772"/>
    <w:rsid w:val="007626B4"/>
    <w:rsid w:val="007628DA"/>
    <w:rsid w:val="0076340D"/>
    <w:rsid w:val="007635D9"/>
    <w:rsid w:val="00763974"/>
    <w:rsid w:val="0076424F"/>
    <w:rsid w:val="007648C5"/>
    <w:rsid w:val="007657BD"/>
    <w:rsid w:val="00766098"/>
    <w:rsid w:val="00767659"/>
    <w:rsid w:val="00767867"/>
    <w:rsid w:val="00767C58"/>
    <w:rsid w:val="007705A8"/>
    <w:rsid w:val="00770827"/>
    <w:rsid w:val="00770E0C"/>
    <w:rsid w:val="0077101A"/>
    <w:rsid w:val="00771519"/>
    <w:rsid w:val="0077220E"/>
    <w:rsid w:val="00772C6C"/>
    <w:rsid w:val="00773361"/>
    <w:rsid w:val="007738AC"/>
    <w:rsid w:val="00773918"/>
    <w:rsid w:val="00773A9A"/>
    <w:rsid w:val="00773D12"/>
    <w:rsid w:val="00773E02"/>
    <w:rsid w:val="0077452B"/>
    <w:rsid w:val="00774ABE"/>
    <w:rsid w:val="00774C8B"/>
    <w:rsid w:val="00774DCE"/>
    <w:rsid w:val="00775442"/>
    <w:rsid w:val="007760DA"/>
    <w:rsid w:val="0077633D"/>
    <w:rsid w:val="0077681D"/>
    <w:rsid w:val="0077703C"/>
    <w:rsid w:val="007771F6"/>
    <w:rsid w:val="0077722A"/>
    <w:rsid w:val="00777590"/>
    <w:rsid w:val="007801F6"/>
    <w:rsid w:val="007801F9"/>
    <w:rsid w:val="007804D9"/>
    <w:rsid w:val="00780BE9"/>
    <w:rsid w:val="00780F06"/>
    <w:rsid w:val="00781563"/>
    <w:rsid w:val="007823C9"/>
    <w:rsid w:val="007826C5"/>
    <w:rsid w:val="007827DA"/>
    <w:rsid w:val="0078283B"/>
    <w:rsid w:val="007828F9"/>
    <w:rsid w:val="00782BF8"/>
    <w:rsid w:val="00782E48"/>
    <w:rsid w:val="0078307E"/>
    <w:rsid w:val="0078390D"/>
    <w:rsid w:val="00783F32"/>
    <w:rsid w:val="00784222"/>
    <w:rsid w:val="00784689"/>
    <w:rsid w:val="00784933"/>
    <w:rsid w:val="0078551D"/>
    <w:rsid w:val="00785570"/>
    <w:rsid w:val="00785790"/>
    <w:rsid w:val="00785973"/>
    <w:rsid w:val="00786FEB"/>
    <w:rsid w:val="007871B6"/>
    <w:rsid w:val="007875D0"/>
    <w:rsid w:val="007877BA"/>
    <w:rsid w:val="00787919"/>
    <w:rsid w:val="00787CD0"/>
    <w:rsid w:val="00787DEB"/>
    <w:rsid w:val="00790D30"/>
    <w:rsid w:val="00790EDC"/>
    <w:rsid w:val="007911F6"/>
    <w:rsid w:val="007913ED"/>
    <w:rsid w:val="007914BE"/>
    <w:rsid w:val="00791921"/>
    <w:rsid w:val="00791CAE"/>
    <w:rsid w:val="00791DFB"/>
    <w:rsid w:val="00791EBA"/>
    <w:rsid w:val="00792C27"/>
    <w:rsid w:val="0079351A"/>
    <w:rsid w:val="0079354A"/>
    <w:rsid w:val="0079399D"/>
    <w:rsid w:val="00793D36"/>
    <w:rsid w:val="00793E8B"/>
    <w:rsid w:val="00793F1D"/>
    <w:rsid w:val="007944BA"/>
    <w:rsid w:val="007945A8"/>
    <w:rsid w:val="00794A94"/>
    <w:rsid w:val="00794FD4"/>
    <w:rsid w:val="00795562"/>
    <w:rsid w:val="00795657"/>
    <w:rsid w:val="0079571C"/>
    <w:rsid w:val="00795CA5"/>
    <w:rsid w:val="00796093"/>
    <w:rsid w:val="007962F3"/>
    <w:rsid w:val="007968D6"/>
    <w:rsid w:val="00796BBB"/>
    <w:rsid w:val="00796FD2"/>
    <w:rsid w:val="007975AA"/>
    <w:rsid w:val="0079786B"/>
    <w:rsid w:val="007978D0"/>
    <w:rsid w:val="00797923"/>
    <w:rsid w:val="007A0237"/>
    <w:rsid w:val="007A0342"/>
    <w:rsid w:val="007A05A9"/>
    <w:rsid w:val="007A0DFB"/>
    <w:rsid w:val="007A0EC8"/>
    <w:rsid w:val="007A10BF"/>
    <w:rsid w:val="007A1B15"/>
    <w:rsid w:val="007A2460"/>
    <w:rsid w:val="007A24C5"/>
    <w:rsid w:val="007A28C6"/>
    <w:rsid w:val="007A28C9"/>
    <w:rsid w:val="007A2A45"/>
    <w:rsid w:val="007A2C54"/>
    <w:rsid w:val="007A2F24"/>
    <w:rsid w:val="007A3691"/>
    <w:rsid w:val="007A37BC"/>
    <w:rsid w:val="007A3D3A"/>
    <w:rsid w:val="007A3EED"/>
    <w:rsid w:val="007A4CE1"/>
    <w:rsid w:val="007A5679"/>
    <w:rsid w:val="007A6633"/>
    <w:rsid w:val="007A6B9A"/>
    <w:rsid w:val="007A6D49"/>
    <w:rsid w:val="007A6DA3"/>
    <w:rsid w:val="007A707D"/>
    <w:rsid w:val="007A7900"/>
    <w:rsid w:val="007A7F58"/>
    <w:rsid w:val="007B1731"/>
    <w:rsid w:val="007B186E"/>
    <w:rsid w:val="007B194D"/>
    <w:rsid w:val="007B230A"/>
    <w:rsid w:val="007B2560"/>
    <w:rsid w:val="007B2B72"/>
    <w:rsid w:val="007B3473"/>
    <w:rsid w:val="007B3CC1"/>
    <w:rsid w:val="007B3D8D"/>
    <w:rsid w:val="007B415E"/>
    <w:rsid w:val="007B4193"/>
    <w:rsid w:val="007B41CD"/>
    <w:rsid w:val="007B43E4"/>
    <w:rsid w:val="007B447E"/>
    <w:rsid w:val="007B47FE"/>
    <w:rsid w:val="007B5225"/>
    <w:rsid w:val="007B5B6A"/>
    <w:rsid w:val="007B7A01"/>
    <w:rsid w:val="007B7CD3"/>
    <w:rsid w:val="007B7D87"/>
    <w:rsid w:val="007C008F"/>
    <w:rsid w:val="007C066B"/>
    <w:rsid w:val="007C0B79"/>
    <w:rsid w:val="007C0D38"/>
    <w:rsid w:val="007C0F1E"/>
    <w:rsid w:val="007C11F2"/>
    <w:rsid w:val="007C1550"/>
    <w:rsid w:val="007C15C2"/>
    <w:rsid w:val="007C1653"/>
    <w:rsid w:val="007C1D4B"/>
    <w:rsid w:val="007C1E12"/>
    <w:rsid w:val="007C1F64"/>
    <w:rsid w:val="007C207A"/>
    <w:rsid w:val="007C2375"/>
    <w:rsid w:val="007C257D"/>
    <w:rsid w:val="007C275E"/>
    <w:rsid w:val="007C2784"/>
    <w:rsid w:val="007C2D8A"/>
    <w:rsid w:val="007C2F80"/>
    <w:rsid w:val="007C315E"/>
    <w:rsid w:val="007C337F"/>
    <w:rsid w:val="007C33C0"/>
    <w:rsid w:val="007C37A3"/>
    <w:rsid w:val="007C3CDC"/>
    <w:rsid w:val="007C421A"/>
    <w:rsid w:val="007C4748"/>
    <w:rsid w:val="007C4908"/>
    <w:rsid w:val="007C4CAB"/>
    <w:rsid w:val="007C5096"/>
    <w:rsid w:val="007C5153"/>
    <w:rsid w:val="007C5305"/>
    <w:rsid w:val="007C5CAC"/>
    <w:rsid w:val="007C6023"/>
    <w:rsid w:val="007C61F7"/>
    <w:rsid w:val="007C63B2"/>
    <w:rsid w:val="007C63EE"/>
    <w:rsid w:val="007C6F14"/>
    <w:rsid w:val="007C7515"/>
    <w:rsid w:val="007C75F0"/>
    <w:rsid w:val="007C76DF"/>
    <w:rsid w:val="007C7A9F"/>
    <w:rsid w:val="007D0897"/>
    <w:rsid w:val="007D0A72"/>
    <w:rsid w:val="007D0C77"/>
    <w:rsid w:val="007D0E2E"/>
    <w:rsid w:val="007D1346"/>
    <w:rsid w:val="007D158B"/>
    <w:rsid w:val="007D18CE"/>
    <w:rsid w:val="007D235D"/>
    <w:rsid w:val="007D289E"/>
    <w:rsid w:val="007D2D0F"/>
    <w:rsid w:val="007D2E16"/>
    <w:rsid w:val="007D34C4"/>
    <w:rsid w:val="007D3EC5"/>
    <w:rsid w:val="007D4245"/>
    <w:rsid w:val="007D46BC"/>
    <w:rsid w:val="007D4E49"/>
    <w:rsid w:val="007D5110"/>
    <w:rsid w:val="007D530A"/>
    <w:rsid w:val="007D555C"/>
    <w:rsid w:val="007D5B45"/>
    <w:rsid w:val="007D5D43"/>
    <w:rsid w:val="007D5E60"/>
    <w:rsid w:val="007D6706"/>
    <w:rsid w:val="007D7E4D"/>
    <w:rsid w:val="007E005C"/>
    <w:rsid w:val="007E0ABF"/>
    <w:rsid w:val="007E0C53"/>
    <w:rsid w:val="007E0F43"/>
    <w:rsid w:val="007E0F65"/>
    <w:rsid w:val="007E13B4"/>
    <w:rsid w:val="007E148B"/>
    <w:rsid w:val="007E209F"/>
    <w:rsid w:val="007E27FC"/>
    <w:rsid w:val="007E29B5"/>
    <w:rsid w:val="007E2AA8"/>
    <w:rsid w:val="007E2E7E"/>
    <w:rsid w:val="007E46B9"/>
    <w:rsid w:val="007E471A"/>
    <w:rsid w:val="007E4CF0"/>
    <w:rsid w:val="007E506F"/>
    <w:rsid w:val="007E5241"/>
    <w:rsid w:val="007E5A7B"/>
    <w:rsid w:val="007E5E92"/>
    <w:rsid w:val="007E68E2"/>
    <w:rsid w:val="007E6A99"/>
    <w:rsid w:val="007E6C65"/>
    <w:rsid w:val="007E6D3F"/>
    <w:rsid w:val="007F0853"/>
    <w:rsid w:val="007F0E44"/>
    <w:rsid w:val="007F1381"/>
    <w:rsid w:val="007F163A"/>
    <w:rsid w:val="007F1918"/>
    <w:rsid w:val="007F1D01"/>
    <w:rsid w:val="007F231D"/>
    <w:rsid w:val="007F27B3"/>
    <w:rsid w:val="007F2810"/>
    <w:rsid w:val="007F30A4"/>
    <w:rsid w:val="007F324A"/>
    <w:rsid w:val="007F3748"/>
    <w:rsid w:val="007F3791"/>
    <w:rsid w:val="007F3F0C"/>
    <w:rsid w:val="007F40BF"/>
    <w:rsid w:val="007F4F97"/>
    <w:rsid w:val="007F587B"/>
    <w:rsid w:val="007F67FF"/>
    <w:rsid w:val="007F68B8"/>
    <w:rsid w:val="007F6CBC"/>
    <w:rsid w:val="007F6DF7"/>
    <w:rsid w:val="007F6E8F"/>
    <w:rsid w:val="007F73DF"/>
    <w:rsid w:val="0080042A"/>
    <w:rsid w:val="008007B2"/>
    <w:rsid w:val="0080101C"/>
    <w:rsid w:val="008011DC"/>
    <w:rsid w:val="008019A9"/>
    <w:rsid w:val="00801E27"/>
    <w:rsid w:val="00801F85"/>
    <w:rsid w:val="00802653"/>
    <w:rsid w:val="0080294D"/>
    <w:rsid w:val="00802E1F"/>
    <w:rsid w:val="008030C8"/>
    <w:rsid w:val="00803194"/>
    <w:rsid w:val="00804258"/>
    <w:rsid w:val="0080475C"/>
    <w:rsid w:val="00804843"/>
    <w:rsid w:val="00804EC3"/>
    <w:rsid w:val="00804EE2"/>
    <w:rsid w:val="00804FEB"/>
    <w:rsid w:val="00805101"/>
    <w:rsid w:val="0080564A"/>
    <w:rsid w:val="00805D44"/>
    <w:rsid w:val="00806FE7"/>
    <w:rsid w:val="008077B7"/>
    <w:rsid w:val="00807D4E"/>
    <w:rsid w:val="00810C68"/>
    <w:rsid w:val="00810EF9"/>
    <w:rsid w:val="00811630"/>
    <w:rsid w:val="00811680"/>
    <w:rsid w:val="008116D9"/>
    <w:rsid w:val="00811B95"/>
    <w:rsid w:val="008121C4"/>
    <w:rsid w:val="008127A7"/>
    <w:rsid w:val="00813032"/>
    <w:rsid w:val="00813167"/>
    <w:rsid w:val="008131D6"/>
    <w:rsid w:val="00813EE2"/>
    <w:rsid w:val="008141D4"/>
    <w:rsid w:val="0081453F"/>
    <w:rsid w:val="008148D8"/>
    <w:rsid w:val="00814B26"/>
    <w:rsid w:val="00815129"/>
    <w:rsid w:val="00815827"/>
    <w:rsid w:val="00816126"/>
    <w:rsid w:val="00816574"/>
    <w:rsid w:val="008165AC"/>
    <w:rsid w:val="008177F3"/>
    <w:rsid w:val="00817990"/>
    <w:rsid w:val="00817A6B"/>
    <w:rsid w:val="00820180"/>
    <w:rsid w:val="0082035F"/>
    <w:rsid w:val="00820707"/>
    <w:rsid w:val="00820797"/>
    <w:rsid w:val="0082137D"/>
    <w:rsid w:val="00821564"/>
    <w:rsid w:val="0082168A"/>
    <w:rsid w:val="00821D15"/>
    <w:rsid w:val="008220E3"/>
    <w:rsid w:val="00822300"/>
    <w:rsid w:val="008225A1"/>
    <w:rsid w:val="00822671"/>
    <w:rsid w:val="00823269"/>
    <w:rsid w:val="00823709"/>
    <w:rsid w:val="00824130"/>
    <w:rsid w:val="008249F7"/>
    <w:rsid w:val="008250A6"/>
    <w:rsid w:val="008251D6"/>
    <w:rsid w:val="00825C80"/>
    <w:rsid w:val="00825D31"/>
    <w:rsid w:val="00825FC7"/>
    <w:rsid w:val="0082611B"/>
    <w:rsid w:val="00826290"/>
    <w:rsid w:val="008265FD"/>
    <w:rsid w:val="00826A8F"/>
    <w:rsid w:val="0082757B"/>
    <w:rsid w:val="00827CBF"/>
    <w:rsid w:val="00830565"/>
    <w:rsid w:val="008305F6"/>
    <w:rsid w:val="0083126D"/>
    <w:rsid w:val="008313B7"/>
    <w:rsid w:val="008315E8"/>
    <w:rsid w:val="00831B35"/>
    <w:rsid w:val="00831E1A"/>
    <w:rsid w:val="0083222C"/>
    <w:rsid w:val="00832701"/>
    <w:rsid w:val="00832A3D"/>
    <w:rsid w:val="008331FF"/>
    <w:rsid w:val="0083376D"/>
    <w:rsid w:val="00833898"/>
    <w:rsid w:val="00833B2D"/>
    <w:rsid w:val="00833C72"/>
    <w:rsid w:val="00833C82"/>
    <w:rsid w:val="00834236"/>
    <w:rsid w:val="00834279"/>
    <w:rsid w:val="00834522"/>
    <w:rsid w:val="00834DDE"/>
    <w:rsid w:val="008356DA"/>
    <w:rsid w:val="00835B50"/>
    <w:rsid w:val="00835E35"/>
    <w:rsid w:val="0083649B"/>
    <w:rsid w:val="0083652E"/>
    <w:rsid w:val="0083761A"/>
    <w:rsid w:val="0083762E"/>
    <w:rsid w:val="0083772E"/>
    <w:rsid w:val="00837AA8"/>
    <w:rsid w:val="00837C7E"/>
    <w:rsid w:val="008401B0"/>
    <w:rsid w:val="0084055A"/>
    <w:rsid w:val="00840955"/>
    <w:rsid w:val="00841046"/>
    <w:rsid w:val="008410DA"/>
    <w:rsid w:val="00841243"/>
    <w:rsid w:val="00841721"/>
    <w:rsid w:val="00841B12"/>
    <w:rsid w:val="00842597"/>
    <w:rsid w:val="00843CED"/>
    <w:rsid w:val="0084405B"/>
    <w:rsid w:val="008453CA"/>
    <w:rsid w:val="0084547F"/>
    <w:rsid w:val="008456D0"/>
    <w:rsid w:val="008459C6"/>
    <w:rsid w:val="00845C60"/>
    <w:rsid w:val="00845C66"/>
    <w:rsid w:val="00846AF9"/>
    <w:rsid w:val="0084781B"/>
    <w:rsid w:val="00847879"/>
    <w:rsid w:val="00850C59"/>
    <w:rsid w:val="00851116"/>
    <w:rsid w:val="00851123"/>
    <w:rsid w:val="00851251"/>
    <w:rsid w:val="008516CE"/>
    <w:rsid w:val="0085186B"/>
    <w:rsid w:val="00851C85"/>
    <w:rsid w:val="00852594"/>
    <w:rsid w:val="008526D8"/>
    <w:rsid w:val="0085280B"/>
    <w:rsid w:val="008528E3"/>
    <w:rsid w:val="00852AD8"/>
    <w:rsid w:val="008535C6"/>
    <w:rsid w:val="008540BD"/>
    <w:rsid w:val="0085423B"/>
    <w:rsid w:val="008551BE"/>
    <w:rsid w:val="00855575"/>
    <w:rsid w:val="0085620F"/>
    <w:rsid w:val="0085622E"/>
    <w:rsid w:val="008562CC"/>
    <w:rsid w:val="008564F6"/>
    <w:rsid w:val="00856860"/>
    <w:rsid w:val="00856D21"/>
    <w:rsid w:val="00856F96"/>
    <w:rsid w:val="00856FBD"/>
    <w:rsid w:val="00857116"/>
    <w:rsid w:val="00857BDB"/>
    <w:rsid w:val="00857CEE"/>
    <w:rsid w:val="00860156"/>
    <w:rsid w:val="008604FC"/>
    <w:rsid w:val="00860621"/>
    <w:rsid w:val="0086080B"/>
    <w:rsid w:val="00860BD8"/>
    <w:rsid w:val="00860EFD"/>
    <w:rsid w:val="00860F0F"/>
    <w:rsid w:val="00861289"/>
    <w:rsid w:val="008614E0"/>
    <w:rsid w:val="008616ED"/>
    <w:rsid w:val="00861856"/>
    <w:rsid w:val="008619DB"/>
    <w:rsid w:val="00861B28"/>
    <w:rsid w:val="00861BD7"/>
    <w:rsid w:val="0086201B"/>
    <w:rsid w:val="008622E5"/>
    <w:rsid w:val="00862328"/>
    <w:rsid w:val="008628FD"/>
    <w:rsid w:val="00862B64"/>
    <w:rsid w:val="00862D52"/>
    <w:rsid w:val="00862F71"/>
    <w:rsid w:val="00863048"/>
    <w:rsid w:val="00864093"/>
    <w:rsid w:val="00864779"/>
    <w:rsid w:val="00864F37"/>
    <w:rsid w:val="00864F47"/>
    <w:rsid w:val="00865504"/>
    <w:rsid w:val="00865B53"/>
    <w:rsid w:val="0086622E"/>
    <w:rsid w:val="008667BB"/>
    <w:rsid w:val="00866810"/>
    <w:rsid w:val="00866A37"/>
    <w:rsid w:val="00866E6B"/>
    <w:rsid w:val="008673CA"/>
    <w:rsid w:val="0086744C"/>
    <w:rsid w:val="008674D3"/>
    <w:rsid w:val="00867C60"/>
    <w:rsid w:val="008704E1"/>
    <w:rsid w:val="00870719"/>
    <w:rsid w:val="00870877"/>
    <w:rsid w:val="00870A54"/>
    <w:rsid w:val="00870D1D"/>
    <w:rsid w:val="00871A11"/>
    <w:rsid w:val="00871D43"/>
    <w:rsid w:val="008721FF"/>
    <w:rsid w:val="008726A4"/>
    <w:rsid w:val="00872948"/>
    <w:rsid w:val="008729FD"/>
    <w:rsid w:val="00872DD1"/>
    <w:rsid w:val="00872E4B"/>
    <w:rsid w:val="00873268"/>
    <w:rsid w:val="008732A7"/>
    <w:rsid w:val="008733CD"/>
    <w:rsid w:val="0087395A"/>
    <w:rsid w:val="00873CBE"/>
    <w:rsid w:val="00873E13"/>
    <w:rsid w:val="0087400F"/>
    <w:rsid w:val="00874163"/>
    <w:rsid w:val="00874536"/>
    <w:rsid w:val="008749CC"/>
    <w:rsid w:val="00874CB7"/>
    <w:rsid w:val="00874F29"/>
    <w:rsid w:val="008752D3"/>
    <w:rsid w:val="00875758"/>
    <w:rsid w:val="00875CC6"/>
    <w:rsid w:val="00875F68"/>
    <w:rsid w:val="00876CBE"/>
    <w:rsid w:val="00876E8A"/>
    <w:rsid w:val="008774C9"/>
    <w:rsid w:val="0088003A"/>
    <w:rsid w:val="008803D2"/>
    <w:rsid w:val="00880808"/>
    <w:rsid w:val="00880E4A"/>
    <w:rsid w:val="00881059"/>
    <w:rsid w:val="0088124D"/>
    <w:rsid w:val="008817B9"/>
    <w:rsid w:val="00881809"/>
    <w:rsid w:val="00881A48"/>
    <w:rsid w:val="0088253E"/>
    <w:rsid w:val="00882E83"/>
    <w:rsid w:val="00882F53"/>
    <w:rsid w:val="008832D9"/>
    <w:rsid w:val="008834FA"/>
    <w:rsid w:val="008839F6"/>
    <w:rsid w:val="00883D38"/>
    <w:rsid w:val="008843A4"/>
    <w:rsid w:val="00884478"/>
    <w:rsid w:val="008844A9"/>
    <w:rsid w:val="0088467C"/>
    <w:rsid w:val="0088470C"/>
    <w:rsid w:val="00884959"/>
    <w:rsid w:val="00884BF8"/>
    <w:rsid w:val="00885019"/>
    <w:rsid w:val="00885435"/>
    <w:rsid w:val="008857E0"/>
    <w:rsid w:val="00885A29"/>
    <w:rsid w:val="00885CD8"/>
    <w:rsid w:val="0088610C"/>
    <w:rsid w:val="00886F31"/>
    <w:rsid w:val="00887573"/>
    <w:rsid w:val="00887C6C"/>
    <w:rsid w:val="00887FDA"/>
    <w:rsid w:val="00890619"/>
    <w:rsid w:val="00890664"/>
    <w:rsid w:val="008910AE"/>
    <w:rsid w:val="0089154E"/>
    <w:rsid w:val="00891C9A"/>
    <w:rsid w:val="00892321"/>
    <w:rsid w:val="008923A8"/>
    <w:rsid w:val="00892579"/>
    <w:rsid w:val="0089295B"/>
    <w:rsid w:val="00893089"/>
    <w:rsid w:val="00893107"/>
    <w:rsid w:val="0089334C"/>
    <w:rsid w:val="00893566"/>
    <w:rsid w:val="008937CF"/>
    <w:rsid w:val="008937E8"/>
    <w:rsid w:val="00893EA7"/>
    <w:rsid w:val="00893F59"/>
    <w:rsid w:val="0089412C"/>
    <w:rsid w:val="00894715"/>
    <w:rsid w:val="00894930"/>
    <w:rsid w:val="00894CC9"/>
    <w:rsid w:val="0089533B"/>
    <w:rsid w:val="00895529"/>
    <w:rsid w:val="00896577"/>
    <w:rsid w:val="00896FCB"/>
    <w:rsid w:val="0089754C"/>
    <w:rsid w:val="00897633"/>
    <w:rsid w:val="00897A83"/>
    <w:rsid w:val="00897DC0"/>
    <w:rsid w:val="008A04B6"/>
    <w:rsid w:val="008A0679"/>
    <w:rsid w:val="008A10F9"/>
    <w:rsid w:val="008A1365"/>
    <w:rsid w:val="008A1972"/>
    <w:rsid w:val="008A1B1D"/>
    <w:rsid w:val="008A2285"/>
    <w:rsid w:val="008A2551"/>
    <w:rsid w:val="008A2933"/>
    <w:rsid w:val="008A3BA8"/>
    <w:rsid w:val="008A3C51"/>
    <w:rsid w:val="008A46DA"/>
    <w:rsid w:val="008A5131"/>
    <w:rsid w:val="008A55B1"/>
    <w:rsid w:val="008A6332"/>
    <w:rsid w:val="008A67C5"/>
    <w:rsid w:val="008A6A0F"/>
    <w:rsid w:val="008A7933"/>
    <w:rsid w:val="008A7E26"/>
    <w:rsid w:val="008B03CB"/>
    <w:rsid w:val="008B047E"/>
    <w:rsid w:val="008B04E5"/>
    <w:rsid w:val="008B14CB"/>
    <w:rsid w:val="008B2A53"/>
    <w:rsid w:val="008B379E"/>
    <w:rsid w:val="008B3CC4"/>
    <w:rsid w:val="008B3E2F"/>
    <w:rsid w:val="008B4167"/>
    <w:rsid w:val="008B44F5"/>
    <w:rsid w:val="008B4919"/>
    <w:rsid w:val="008B4972"/>
    <w:rsid w:val="008B4D95"/>
    <w:rsid w:val="008B4DA9"/>
    <w:rsid w:val="008B4E36"/>
    <w:rsid w:val="008B51A1"/>
    <w:rsid w:val="008B542F"/>
    <w:rsid w:val="008B576F"/>
    <w:rsid w:val="008B606C"/>
    <w:rsid w:val="008B6281"/>
    <w:rsid w:val="008B62BE"/>
    <w:rsid w:val="008B6DCC"/>
    <w:rsid w:val="008B6E4E"/>
    <w:rsid w:val="008B6ED6"/>
    <w:rsid w:val="008B732E"/>
    <w:rsid w:val="008B766E"/>
    <w:rsid w:val="008B7744"/>
    <w:rsid w:val="008B7A70"/>
    <w:rsid w:val="008B7DD3"/>
    <w:rsid w:val="008C0462"/>
    <w:rsid w:val="008C087B"/>
    <w:rsid w:val="008C1638"/>
    <w:rsid w:val="008C18C0"/>
    <w:rsid w:val="008C1B8B"/>
    <w:rsid w:val="008C1CF9"/>
    <w:rsid w:val="008C26F9"/>
    <w:rsid w:val="008C2A47"/>
    <w:rsid w:val="008C3A81"/>
    <w:rsid w:val="008C3AAE"/>
    <w:rsid w:val="008C3C78"/>
    <w:rsid w:val="008C3D24"/>
    <w:rsid w:val="008C3D91"/>
    <w:rsid w:val="008C3E9A"/>
    <w:rsid w:val="008C4644"/>
    <w:rsid w:val="008C4666"/>
    <w:rsid w:val="008C4B3B"/>
    <w:rsid w:val="008C4D4E"/>
    <w:rsid w:val="008C4F6C"/>
    <w:rsid w:val="008C5778"/>
    <w:rsid w:val="008C586A"/>
    <w:rsid w:val="008C5933"/>
    <w:rsid w:val="008C5CEF"/>
    <w:rsid w:val="008C60B5"/>
    <w:rsid w:val="008C6D78"/>
    <w:rsid w:val="008C6E1D"/>
    <w:rsid w:val="008C6E56"/>
    <w:rsid w:val="008C7856"/>
    <w:rsid w:val="008C7C5B"/>
    <w:rsid w:val="008C7FFA"/>
    <w:rsid w:val="008D029B"/>
    <w:rsid w:val="008D03D8"/>
    <w:rsid w:val="008D05AA"/>
    <w:rsid w:val="008D123F"/>
    <w:rsid w:val="008D1AD8"/>
    <w:rsid w:val="008D1DD1"/>
    <w:rsid w:val="008D26BF"/>
    <w:rsid w:val="008D3856"/>
    <w:rsid w:val="008D3D90"/>
    <w:rsid w:val="008D3FF1"/>
    <w:rsid w:val="008D42F4"/>
    <w:rsid w:val="008D479C"/>
    <w:rsid w:val="008D47E5"/>
    <w:rsid w:val="008D4ACC"/>
    <w:rsid w:val="008D4E60"/>
    <w:rsid w:val="008D4ECD"/>
    <w:rsid w:val="008D5845"/>
    <w:rsid w:val="008D5A5E"/>
    <w:rsid w:val="008D5BEA"/>
    <w:rsid w:val="008D5D91"/>
    <w:rsid w:val="008D5E16"/>
    <w:rsid w:val="008D642A"/>
    <w:rsid w:val="008D6F0C"/>
    <w:rsid w:val="008D7AD9"/>
    <w:rsid w:val="008D7B56"/>
    <w:rsid w:val="008E06F6"/>
    <w:rsid w:val="008E09CB"/>
    <w:rsid w:val="008E0AC9"/>
    <w:rsid w:val="008E103A"/>
    <w:rsid w:val="008E10B7"/>
    <w:rsid w:val="008E1382"/>
    <w:rsid w:val="008E1CBA"/>
    <w:rsid w:val="008E1F08"/>
    <w:rsid w:val="008E2A33"/>
    <w:rsid w:val="008E2AAC"/>
    <w:rsid w:val="008E331E"/>
    <w:rsid w:val="008E3D34"/>
    <w:rsid w:val="008E4123"/>
    <w:rsid w:val="008E4D36"/>
    <w:rsid w:val="008E5177"/>
    <w:rsid w:val="008E5A07"/>
    <w:rsid w:val="008E5AB8"/>
    <w:rsid w:val="008E5EDA"/>
    <w:rsid w:val="008E6028"/>
    <w:rsid w:val="008E656D"/>
    <w:rsid w:val="008E686F"/>
    <w:rsid w:val="008E7B60"/>
    <w:rsid w:val="008F0A49"/>
    <w:rsid w:val="008F1D35"/>
    <w:rsid w:val="008F3AC7"/>
    <w:rsid w:val="008F3E32"/>
    <w:rsid w:val="008F3EC9"/>
    <w:rsid w:val="008F3F93"/>
    <w:rsid w:val="008F40DE"/>
    <w:rsid w:val="008F41ED"/>
    <w:rsid w:val="008F4764"/>
    <w:rsid w:val="008F49F0"/>
    <w:rsid w:val="008F4B54"/>
    <w:rsid w:val="008F4E19"/>
    <w:rsid w:val="008F5D2B"/>
    <w:rsid w:val="008F601F"/>
    <w:rsid w:val="008F6D95"/>
    <w:rsid w:val="008F6E22"/>
    <w:rsid w:val="009006DA"/>
    <w:rsid w:val="0090136A"/>
    <w:rsid w:val="009015CB"/>
    <w:rsid w:val="009017FA"/>
    <w:rsid w:val="00901A79"/>
    <w:rsid w:val="00901EBF"/>
    <w:rsid w:val="00902087"/>
    <w:rsid w:val="0090212E"/>
    <w:rsid w:val="009021E9"/>
    <w:rsid w:val="009026CB"/>
    <w:rsid w:val="009026D8"/>
    <w:rsid w:val="009027B2"/>
    <w:rsid w:val="009028CE"/>
    <w:rsid w:val="00902CEF"/>
    <w:rsid w:val="00902E2D"/>
    <w:rsid w:val="0090303A"/>
    <w:rsid w:val="00903088"/>
    <w:rsid w:val="0090389E"/>
    <w:rsid w:val="009039FF"/>
    <w:rsid w:val="00903C21"/>
    <w:rsid w:val="0090407B"/>
    <w:rsid w:val="009046DB"/>
    <w:rsid w:val="00905391"/>
    <w:rsid w:val="009062EC"/>
    <w:rsid w:val="00906C84"/>
    <w:rsid w:val="00906E81"/>
    <w:rsid w:val="00907703"/>
    <w:rsid w:val="00907960"/>
    <w:rsid w:val="00907A68"/>
    <w:rsid w:val="009105C7"/>
    <w:rsid w:val="009107BE"/>
    <w:rsid w:val="00910BA7"/>
    <w:rsid w:val="00910ED3"/>
    <w:rsid w:val="00911607"/>
    <w:rsid w:val="00911D38"/>
    <w:rsid w:val="00912C6A"/>
    <w:rsid w:val="00912F14"/>
    <w:rsid w:val="0091301A"/>
    <w:rsid w:val="00913105"/>
    <w:rsid w:val="0091357C"/>
    <w:rsid w:val="00913D17"/>
    <w:rsid w:val="00914383"/>
    <w:rsid w:val="009145C8"/>
    <w:rsid w:val="0091521E"/>
    <w:rsid w:val="0091524B"/>
    <w:rsid w:val="00915377"/>
    <w:rsid w:val="0091576C"/>
    <w:rsid w:val="009161D3"/>
    <w:rsid w:val="00916496"/>
    <w:rsid w:val="00916621"/>
    <w:rsid w:val="00916ED7"/>
    <w:rsid w:val="00917110"/>
    <w:rsid w:val="0091729A"/>
    <w:rsid w:val="00917535"/>
    <w:rsid w:val="00917B41"/>
    <w:rsid w:val="00917DE0"/>
    <w:rsid w:val="0092048A"/>
    <w:rsid w:val="00920772"/>
    <w:rsid w:val="0092082E"/>
    <w:rsid w:val="00920921"/>
    <w:rsid w:val="00920A28"/>
    <w:rsid w:val="00920E57"/>
    <w:rsid w:val="00920EFB"/>
    <w:rsid w:val="00921475"/>
    <w:rsid w:val="00921640"/>
    <w:rsid w:val="0092173D"/>
    <w:rsid w:val="00921B44"/>
    <w:rsid w:val="009227D6"/>
    <w:rsid w:val="00922F1C"/>
    <w:rsid w:val="00923150"/>
    <w:rsid w:val="00923793"/>
    <w:rsid w:val="00923ED7"/>
    <w:rsid w:val="00924B62"/>
    <w:rsid w:val="00924BA4"/>
    <w:rsid w:val="00924C79"/>
    <w:rsid w:val="009252BB"/>
    <w:rsid w:val="0092556C"/>
    <w:rsid w:val="00925836"/>
    <w:rsid w:val="0092599E"/>
    <w:rsid w:val="00926C13"/>
    <w:rsid w:val="00927218"/>
    <w:rsid w:val="009274AF"/>
    <w:rsid w:val="0092773F"/>
    <w:rsid w:val="00927D57"/>
    <w:rsid w:val="009304AB"/>
    <w:rsid w:val="009305CB"/>
    <w:rsid w:val="009305D7"/>
    <w:rsid w:val="00930F4A"/>
    <w:rsid w:val="00930F52"/>
    <w:rsid w:val="0093138B"/>
    <w:rsid w:val="00931694"/>
    <w:rsid w:val="009317AB"/>
    <w:rsid w:val="00931B67"/>
    <w:rsid w:val="00932B61"/>
    <w:rsid w:val="00932CB4"/>
    <w:rsid w:val="00932E3D"/>
    <w:rsid w:val="00932ED1"/>
    <w:rsid w:val="00933014"/>
    <w:rsid w:val="009337D4"/>
    <w:rsid w:val="00933FDD"/>
    <w:rsid w:val="00934162"/>
    <w:rsid w:val="00934250"/>
    <w:rsid w:val="00934DE0"/>
    <w:rsid w:val="0093511D"/>
    <w:rsid w:val="0093521E"/>
    <w:rsid w:val="009352F2"/>
    <w:rsid w:val="0093533A"/>
    <w:rsid w:val="00935865"/>
    <w:rsid w:val="00936442"/>
    <w:rsid w:val="00936A2B"/>
    <w:rsid w:val="0093714A"/>
    <w:rsid w:val="00937411"/>
    <w:rsid w:val="0093745F"/>
    <w:rsid w:val="00937994"/>
    <w:rsid w:val="00937F8B"/>
    <w:rsid w:val="00940093"/>
    <w:rsid w:val="00940446"/>
    <w:rsid w:val="00940572"/>
    <w:rsid w:val="00941043"/>
    <w:rsid w:val="0094285D"/>
    <w:rsid w:val="00942ACF"/>
    <w:rsid w:val="00942D13"/>
    <w:rsid w:val="009433E9"/>
    <w:rsid w:val="0094357D"/>
    <w:rsid w:val="00943744"/>
    <w:rsid w:val="00943932"/>
    <w:rsid w:val="009444A4"/>
    <w:rsid w:val="0094454B"/>
    <w:rsid w:val="009447AA"/>
    <w:rsid w:val="009447D5"/>
    <w:rsid w:val="00944A19"/>
    <w:rsid w:val="00944B3E"/>
    <w:rsid w:val="0094503A"/>
    <w:rsid w:val="00945163"/>
    <w:rsid w:val="0094561D"/>
    <w:rsid w:val="00945D12"/>
    <w:rsid w:val="00945D8F"/>
    <w:rsid w:val="0094673D"/>
    <w:rsid w:val="009467C2"/>
    <w:rsid w:val="00946AFC"/>
    <w:rsid w:val="009470F3"/>
    <w:rsid w:val="009478ED"/>
    <w:rsid w:val="0094794D"/>
    <w:rsid w:val="00947C7A"/>
    <w:rsid w:val="0095001C"/>
    <w:rsid w:val="00950178"/>
    <w:rsid w:val="009501E5"/>
    <w:rsid w:val="009502E8"/>
    <w:rsid w:val="009504D4"/>
    <w:rsid w:val="009507B9"/>
    <w:rsid w:val="009508F2"/>
    <w:rsid w:val="009510DA"/>
    <w:rsid w:val="00951516"/>
    <w:rsid w:val="00951867"/>
    <w:rsid w:val="00951EDF"/>
    <w:rsid w:val="009521F3"/>
    <w:rsid w:val="0095264C"/>
    <w:rsid w:val="009529BD"/>
    <w:rsid w:val="00952B7D"/>
    <w:rsid w:val="00952E80"/>
    <w:rsid w:val="00953484"/>
    <w:rsid w:val="00953A5A"/>
    <w:rsid w:val="009544CD"/>
    <w:rsid w:val="00954B01"/>
    <w:rsid w:val="00954D49"/>
    <w:rsid w:val="00954D95"/>
    <w:rsid w:val="00954EB3"/>
    <w:rsid w:val="00955A6A"/>
    <w:rsid w:val="00955CDD"/>
    <w:rsid w:val="00956179"/>
    <w:rsid w:val="00956288"/>
    <w:rsid w:val="00956426"/>
    <w:rsid w:val="00956C8C"/>
    <w:rsid w:val="00956FCE"/>
    <w:rsid w:val="0095717E"/>
    <w:rsid w:val="00957A07"/>
    <w:rsid w:val="00957A7B"/>
    <w:rsid w:val="00957C8C"/>
    <w:rsid w:val="00960159"/>
    <w:rsid w:val="009603B5"/>
    <w:rsid w:val="00960BA6"/>
    <w:rsid w:val="009613CE"/>
    <w:rsid w:val="00961E7C"/>
    <w:rsid w:val="00962770"/>
    <w:rsid w:val="00962857"/>
    <w:rsid w:val="00962B70"/>
    <w:rsid w:val="00962B99"/>
    <w:rsid w:val="00962CF6"/>
    <w:rsid w:val="009630F0"/>
    <w:rsid w:val="009631C4"/>
    <w:rsid w:val="00963434"/>
    <w:rsid w:val="009643AC"/>
    <w:rsid w:val="0096446B"/>
    <w:rsid w:val="00964783"/>
    <w:rsid w:val="00964F57"/>
    <w:rsid w:val="00965221"/>
    <w:rsid w:val="00965C73"/>
    <w:rsid w:val="00966320"/>
    <w:rsid w:val="009666C1"/>
    <w:rsid w:val="00966C31"/>
    <w:rsid w:val="00966CC5"/>
    <w:rsid w:val="009671B8"/>
    <w:rsid w:val="00967352"/>
    <w:rsid w:val="0096746E"/>
    <w:rsid w:val="00967A5F"/>
    <w:rsid w:val="00967EC7"/>
    <w:rsid w:val="00970619"/>
    <w:rsid w:val="00970852"/>
    <w:rsid w:val="00971B4E"/>
    <w:rsid w:val="00971C0D"/>
    <w:rsid w:val="0097217C"/>
    <w:rsid w:val="00972FCE"/>
    <w:rsid w:val="0097318E"/>
    <w:rsid w:val="0097321C"/>
    <w:rsid w:val="009734F0"/>
    <w:rsid w:val="00973987"/>
    <w:rsid w:val="00973B38"/>
    <w:rsid w:val="00973FD1"/>
    <w:rsid w:val="00974564"/>
    <w:rsid w:val="009755FF"/>
    <w:rsid w:val="0097590F"/>
    <w:rsid w:val="0097606B"/>
    <w:rsid w:val="009761CF"/>
    <w:rsid w:val="00977708"/>
    <w:rsid w:val="00977D1E"/>
    <w:rsid w:val="00977E27"/>
    <w:rsid w:val="00977EAA"/>
    <w:rsid w:val="00980181"/>
    <w:rsid w:val="00980373"/>
    <w:rsid w:val="00980E19"/>
    <w:rsid w:val="00980F08"/>
    <w:rsid w:val="009822B8"/>
    <w:rsid w:val="0098266F"/>
    <w:rsid w:val="00982766"/>
    <w:rsid w:val="009829B4"/>
    <w:rsid w:val="00982B64"/>
    <w:rsid w:val="00982C52"/>
    <w:rsid w:val="00983D57"/>
    <w:rsid w:val="009844E5"/>
    <w:rsid w:val="00984522"/>
    <w:rsid w:val="00984790"/>
    <w:rsid w:val="00984BE7"/>
    <w:rsid w:val="009852E3"/>
    <w:rsid w:val="0098551A"/>
    <w:rsid w:val="00985B16"/>
    <w:rsid w:val="00985FAF"/>
    <w:rsid w:val="00986676"/>
    <w:rsid w:val="009867B3"/>
    <w:rsid w:val="009870CB"/>
    <w:rsid w:val="009877AE"/>
    <w:rsid w:val="0099023B"/>
    <w:rsid w:val="009902BF"/>
    <w:rsid w:val="009904C0"/>
    <w:rsid w:val="009912C8"/>
    <w:rsid w:val="0099186F"/>
    <w:rsid w:val="00991D14"/>
    <w:rsid w:val="00991F61"/>
    <w:rsid w:val="00992207"/>
    <w:rsid w:val="00992DB2"/>
    <w:rsid w:val="009932EE"/>
    <w:rsid w:val="00993A92"/>
    <w:rsid w:val="009943C6"/>
    <w:rsid w:val="00994576"/>
    <w:rsid w:val="009961D8"/>
    <w:rsid w:val="009968A9"/>
    <w:rsid w:val="00996A9B"/>
    <w:rsid w:val="00996DD2"/>
    <w:rsid w:val="0099708B"/>
    <w:rsid w:val="00997E38"/>
    <w:rsid w:val="009A0677"/>
    <w:rsid w:val="009A0C7F"/>
    <w:rsid w:val="009A1598"/>
    <w:rsid w:val="009A1ABA"/>
    <w:rsid w:val="009A2659"/>
    <w:rsid w:val="009A3992"/>
    <w:rsid w:val="009A4501"/>
    <w:rsid w:val="009A493C"/>
    <w:rsid w:val="009A4E4E"/>
    <w:rsid w:val="009A4E70"/>
    <w:rsid w:val="009A528C"/>
    <w:rsid w:val="009A674D"/>
    <w:rsid w:val="009A7122"/>
    <w:rsid w:val="009A7F48"/>
    <w:rsid w:val="009B02CE"/>
    <w:rsid w:val="009B1BFA"/>
    <w:rsid w:val="009B2145"/>
    <w:rsid w:val="009B2773"/>
    <w:rsid w:val="009B282C"/>
    <w:rsid w:val="009B2AAA"/>
    <w:rsid w:val="009B2C7F"/>
    <w:rsid w:val="009B2FCB"/>
    <w:rsid w:val="009B3225"/>
    <w:rsid w:val="009B350E"/>
    <w:rsid w:val="009B3764"/>
    <w:rsid w:val="009B3AA7"/>
    <w:rsid w:val="009B3C6C"/>
    <w:rsid w:val="009B4BC7"/>
    <w:rsid w:val="009B50D3"/>
    <w:rsid w:val="009B50DD"/>
    <w:rsid w:val="009B51B3"/>
    <w:rsid w:val="009B6754"/>
    <w:rsid w:val="009B69B1"/>
    <w:rsid w:val="009B6CDB"/>
    <w:rsid w:val="009B6F43"/>
    <w:rsid w:val="009B70D8"/>
    <w:rsid w:val="009B74C4"/>
    <w:rsid w:val="009B779C"/>
    <w:rsid w:val="009C00C6"/>
    <w:rsid w:val="009C061E"/>
    <w:rsid w:val="009C0699"/>
    <w:rsid w:val="009C0BE4"/>
    <w:rsid w:val="009C0DB4"/>
    <w:rsid w:val="009C0DE0"/>
    <w:rsid w:val="009C18EA"/>
    <w:rsid w:val="009C1D89"/>
    <w:rsid w:val="009C213F"/>
    <w:rsid w:val="009C243E"/>
    <w:rsid w:val="009C2A6E"/>
    <w:rsid w:val="009C34D8"/>
    <w:rsid w:val="009C3DD6"/>
    <w:rsid w:val="009C4D7D"/>
    <w:rsid w:val="009C4F24"/>
    <w:rsid w:val="009C5362"/>
    <w:rsid w:val="009C546B"/>
    <w:rsid w:val="009C54F7"/>
    <w:rsid w:val="009C5D54"/>
    <w:rsid w:val="009C5D7B"/>
    <w:rsid w:val="009C5DBB"/>
    <w:rsid w:val="009C5FB7"/>
    <w:rsid w:val="009C5FF7"/>
    <w:rsid w:val="009C6329"/>
    <w:rsid w:val="009C6DD4"/>
    <w:rsid w:val="009C7105"/>
    <w:rsid w:val="009C72D7"/>
    <w:rsid w:val="009C7F9C"/>
    <w:rsid w:val="009D0105"/>
    <w:rsid w:val="009D05CB"/>
    <w:rsid w:val="009D12C2"/>
    <w:rsid w:val="009D1883"/>
    <w:rsid w:val="009D1A16"/>
    <w:rsid w:val="009D2752"/>
    <w:rsid w:val="009D29D4"/>
    <w:rsid w:val="009D2F51"/>
    <w:rsid w:val="009D3338"/>
    <w:rsid w:val="009D33CE"/>
    <w:rsid w:val="009D3A98"/>
    <w:rsid w:val="009D41E9"/>
    <w:rsid w:val="009D4236"/>
    <w:rsid w:val="009D4548"/>
    <w:rsid w:val="009D4918"/>
    <w:rsid w:val="009D496C"/>
    <w:rsid w:val="009D49AF"/>
    <w:rsid w:val="009D4D46"/>
    <w:rsid w:val="009D5408"/>
    <w:rsid w:val="009D62FC"/>
    <w:rsid w:val="009D657F"/>
    <w:rsid w:val="009D68C1"/>
    <w:rsid w:val="009D6940"/>
    <w:rsid w:val="009D7005"/>
    <w:rsid w:val="009D7054"/>
    <w:rsid w:val="009D70BF"/>
    <w:rsid w:val="009D724C"/>
    <w:rsid w:val="009E0225"/>
    <w:rsid w:val="009E187E"/>
    <w:rsid w:val="009E189B"/>
    <w:rsid w:val="009E190A"/>
    <w:rsid w:val="009E1B49"/>
    <w:rsid w:val="009E1BE3"/>
    <w:rsid w:val="009E2733"/>
    <w:rsid w:val="009E2909"/>
    <w:rsid w:val="009E2A64"/>
    <w:rsid w:val="009E2FBC"/>
    <w:rsid w:val="009E305F"/>
    <w:rsid w:val="009E30D5"/>
    <w:rsid w:val="009E3305"/>
    <w:rsid w:val="009E35F5"/>
    <w:rsid w:val="009E383F"/>
    <w:rsid w:val="009E38B1"/>
    <w:rsid w:val="009E3D1D"/>
    <w:rsid w:val="009E462E"/>
    <w:rsid w:val="009E4649"/>
    <w:rsid w:val="009E48E2"/>
    <w:rsid w:val="009E4CE1"/>
    <w:rsid w:val="009E4D7F"/>
    <w:rsid w:val="009E4E03"/>
    <w:rsid w:val="009E4EDF"/>
    <w:rsid w:val="009E503D"/>
    <w:rsid w:val="009E56EE"/>
    <w:rsid w:val="009E58C9"/>
    <w:rsid w:val="009E5C6A"/>
    <w:rsid w:val="009E5D11"/>
    <w:rsid w:val="009E5DF9"/>
    <w:rsid w:val="009E605C"/>
    <w:rsid w:val="009E68E8"/>
    <w:rsid w:val="009E6CD9"/>
    <w:rsid w:val="009E7066"/>
    <w:rsid w:val="009E743A"/>
    <w:rsid w:val="009E7F2F"/>
    <w:rsid w:val="009F05B9"/>
    <w:rsid w:val="009F08E2"/>
    <w:rsid w:val="009F0976"/>
    <w:rsid w:val="009F0ACF"/>
    <w:rsid w:val="009F0B18"/>
    <w:rsid w:val="009F12A8"/>
    <w:rsid w:val="009F1532"/>
    <w:rsid w:val="009F213E"/>
    <w:rsid w:val="009F252E"/>
    <w:rsid w:val="009F25B0"/>
    <w:rsid w:val="009F2844"/>
    <w:rsid w:val="009F2B7A"/>
    <w:rsid w:val="009F4BF7"/>
    <w:rsid w:val="009F5A06"/>
    <w:rsid w:val="009F5A3D"/>
    <w:rsid w:val="009F5BC5"/>
    <w:rsid w:val="009F5DCF"/>
    <w:rsid w:val="009F643D"/>
    <w:rsid w:val="009F6502"/>
    <w:rsid w:val="009F6567"/>
    <w:rsid w:val="009F67E0"/>
    <w:rsid w:val="009F713E"/>
    <w:rsid w:val="009F71A1"/>
    <w:rsid w:val="009F7780"/>
    <w:rsid w:val="009F7F28"/>
    <w:rsid w:val="009F7F32"/>
    <w:rsid w:val="00A0064A"/>
    <w:rsid w:val="00A00B8D"/>
    <w:rsid w:val="00A00DAD"/>
    <w:rsid w:val="00A011A1"/>
    <w:rsid w:val="00A01484"/>
    <w:rsid w:val="00A01786"/>
    <w:rsid w:val="00A017DF"/>
    <w:rsid w:val="00A01FAC"/>
    <w:rsid w:val="00A023B1"/>
    <w:rsid w:val="00A024D4"/>
    <w:rsid w:val="00A02C71"/>
    <w:rsid w:val="00A031CC"/>
    <w:rsid w:val="00A034A3"/>
    <w:rsid w:val="00A042C6"/>
    <w:rsid w:val="00A04A05"/>
    <w:rsid w:val="00A059C6"/>
    <w:rsid w:val="00A05F6E"/>
    <w:rsid w:val="00A0688C"/>
    <w:rsid w:val="00A06F54"/>
    <w:rsid w:val="00A0791E"/>
    <w:rsid w:val="00A07954"/>
    <w:rsid w:val="00A07A22"/>
    <w:rsid w:val="00A07A4D"/>
    <w:rsid w:val="00A07B90"/>
    <w:rsid w:val="00A10035"/>
    <w:rsid w:val="00A116BA"/>
    <w:rsid w:val="00A11758"/>
    <w:rsid w:val="00A11A1A"/>
    <w:rsid w:val="00A11A95"/>
    <w:rsid w:val="00A12241"/>
    <w:rsid w:val="00A123D7"/>
    <w:rsid w:val="00A127AC"/>
    <w:rsid w:val="00A12A3C"/>
    <w:rsid w:val="00A1348C"/>
    <w:rsid w:val="00A13CFB"/>
    <w:rsid w:val="00A14DCD"/>
    <w:rsid w:val="00A14E87"/>
    <w:rsid w:val="00A157B5"/>
    <w:rsid w:val="00A15C15"/>
    <w:rsid w:val="00A15DD7"/>
    <w:rsid w:val="00A16111"/>
    <w:rsid w:val="00A16E52"/>
    <w:rsid w:val="00A17C89"/>
    <w:rsid w:val="00A206FD"/>
    <w:rsid w:val="00A2180E"/>
    <w:rsid w:val="00A2184A"/>
    <w:rsid w:val="00A2194E"/>
    <w:rsid w:val="00A221BA"/>
    <w:rsid w:val="00A22357"/>
    <w:rsid w:val="00A224EE"/>
    <w:rsid w:val="00A22905"/>
    <w:rsid w:val="00A22B0A"/>
    <w:rsid w:val="00A22B8E"/>
    <w:rsid w:val="00A22E8A"/>
    <w:rsid w:val="00A234DC"/>
    <w:rsid w:val="00A23A9F"/>
    <w:rsid w:val="00A23BCF"/>
    <w:rsid w:val="00A24334"/>
    <w:rsid w:val="00A24AB9"/>
    <w:rsid w:val="00A24C06"/>
    <w:rsid w:val="00A25795"/>
    <w:rsid w:val="00A266FE"/>
    <w:rsid w:val="00A279CC"/>
    <w:rsid w:val="00A30061"/>
    <w:rsid w:val="00A3192E"/>
    <w:rsid w:val="00A31A01"/>
    <w:rsid w:val="00A31C54"/>
    <w:rsid w:val="00A31EFB"/>
    <w:rsid w:val="00A31FA5"/>
    <w:rsid w:val="00A3287D"/>
    <w:rsid w:val="00A328DB"/>
    <w:rsid w:val="00A3346A"/>
    <w:rsid w:val="00A33864"/>
    <w:rsid w:val="00A3396F"/>
    <w:rsid w:val="00A339E0"/>
    <w:rsid w:val="00A33F12"/>
    <w:rsid w:val="00A344C6"/>
    <w:rsid w:val="00A34BA0"/>
    <w:rsid w:val="00A3559A"/>
    <w:rsid w:val="00A35730"/>
    <w:rsid w:val="00A357DE"/>
    <w:rsid w:val="00A35AF9"/>
    <w:rsid w:val="00A35DDD"/>
    <w:rsid w:val="00A3683F"/>
    <w:rsid w:val="00A36B18"/>
    <w:rsid w:val="00A36E3E"/>
    <w:rsid w:val="00A37404"/>
    <w:rsid w:val="00A37722"/>
    <w:rsid w:val="00A40A73"/>
    <w:rsid w:val="00A411C9"/>
    <w:rsid w:val="00A414F1"/>
    <w:rsid w:val="00A41BC4"/>
    <w:rsid w:val="00A41DB8"/>
    <w:rsid w:val="00A4204B"/>
    <w:rsid w:val="00A4264B"/>
    <w:rsid w:val="00A43282"/>
    <w:rsid w:val="00A43342"/>
    <w:rsid w:val="00A434F3"/>
    <w:rsid w:val="00A4448F"/>
    <w:rsid w:val="00A44995"/>
    <w:rsid w:val="00A44A46"/>
    <w:rsid w:val="00A452B4"/>
    <w:rsid w:val="00A457C9"/>
    <w:rsid w:val="00A4580C"/>
    <w:rsid w:val="00A458D1"/>
    <w:rsid w:val="00A45C03"/>
    <w:rsid w:val="00A45CC6"/>
    <w:rsid w:val="00A45CD9"/>
    <w:rsid w:val="00A4645A"/>
    <w:rsid w:val="00A46EDD"/>
    <w:rsid w:val="00A471BD"/>
    <w:rsid w:val="00A47E39"/>
    <w:rsid w:val="00A50226"/>
    <w:rsid w:val="00A5048A"/>
    <w:rsid w:val="00A5064D"/>
    <w:rsid w:val="00A50EE7"/>
    <w:rsid w:val="00A51360"/>
    <w:rsid w:val="00A5166A"/>
    <w:rsid w:val="00A51A17"/>
    <w:rsid w:val="00A51B0D"/>
    <w:rsid w:val="00A520CD"/>
    <w:rsid w:val="00A526D0"/>
    <w:rsid w:val="00A52C9D"/>
    <w:rsid w:val="00A52E13"/>
    <w:rsid w:val="00A52FFB"/>
    <w:rsid w:val="00A54244"/>
    <w:rsid w:val="00A54862"/>
    <w:rsid w:val="00A54972"/>
    <w:rsid w:val="00A54E1D"/>
    <w:rsid w:val="00A54E3B"/>
    <w:rsid w:val="00A550E9"/>
    <w:rsid w:val="00A56045"/>
    <w:rsid w:val="00A56625"/>
    <w:rsid w:val="00A5699B"/>
    <w:rsid w:val="00A5743F"/>
    <w:rsid w:val="00A579DD"/>
    <w:rsid w:val="00A57BF7"/>
    <w:rsid w:val="00A57DA9"/>
    <w:rsid w:val="00A57EE1"/>
    <w:rsid w:val="00A608D3"/>
    <w:rsid w:val="00A609EC"/>
    <w:rsid w:val="00A60BF4"/>
    <w:rsid w:val="00A60E18"/>
    <w:rsid w:val="00A61199"/>
    <w:rsid w:val="00A6165A"/>
    <w:rsid w:val="00A62C13"/>
    <w:rsid w:val="00A62DDB"/>
    <w:rsid w:val="00A634C3"/>
    <w:rsid w:val="00A63BEC"/>
    <w:rsid w:val="00A63FED"/>
    <w:rsid w:val="00A64885"/>
    <w:rsid w:val="00A6491E"/>
    <w:rsid w:val="00A64C28"/>
    <w:rsid w:val="00A64EFB"/>
    <w:rsid w:val="00A65127"/>
    <w:rsid w:val="00A6551F"/>
    <w:rsid w:val="00A6639B"/>
    <w:rsid w:val="00A6647C"/>
    <w:rsid w:val="00A66786"/>
    <w:rsid w:val="00A66958"/>
    <w:rsid w:val="00A673C9"/>
    <w:rsid w:val="00A674E3"/>
    <w:rsid w:val="00A67597"/>
    <w:rsid w:val="00A6788A"/>
    <w:rsid w:val="00A70025"/>
    <w:rsid w:val="00A7048B"/>
    <w:rsid w:val="00A708A0"/>
    <w:rsid w:val="00A70F0D"/>
    <w:rsid w:val="00A712F0"/>
    <w:rsid w:val="00A713E3"/>
    <w:rsid w:val="00A718FB"/>
    <w:rsid w:val="00A71912"/>
    <w:rsid w:val="00A71A74"/>
    <w:rsid w:val="00A71D3A"/>
    <w:rsid w:val="00A71DB8"/>
    <w:rsid w:val="00A724AB"/>
    <w:rsid w:val="00A72B69"/>
    <w:rsid w:val="00A72D9B"/>
    <w:rsid w:val="00A72DE0"/>
    <w:rsid w:val="00A73186"/>
    <w:rsid w:val="00A73E99"/>
    <w:rsid w:val="00A73FDB"/>
    <w:rsid w:val="00A74D50"/>
    <w:rsid w:val="00A74DA8"/>
    <w:rsid w:val="00A74EA5"/>
    <w:rsid w:val="00A76257"/>
    <w:rsid w:val="00A765F8"/>
    <w:rsid w:val="00A76A84"/>
    <w:rsid w:val="00A76C8F"/>
    <w:rsid w:val="00A76DED"/>
    <w:rsid w:val="00A76F4C"/>
    <w:rsid w:val="00A773C7"/>
    <w:rsid w:val="00A7752B"/>
    <w:rsid w:val="00A776C2"/>
    <w:rsid w:val="00A77810"/>
    <w:rsid w:val="00A77C1B"/>
    <w:rsid w:val="00A80549"/>
    <w:rsid w:val="00A810AC"/>
    <w:rsid w:val="00A81596"/>
    <w:rsid w:val="00A82031"/>
    <w:rsid w:val="00A820B2"/>
    <w:rsid w:val="00A82644"/>
    <w:rsid w:val="00A82777"/>
    <w:rsid w:val="00A82ED7"/>
    <w:rsid w:val="00A830CB"/>
    <w:rsid w:val="00A83628"/>
    <w:rsid w:val="00A837F1"/>
    <w:rsid w:val="00A837F4"/>
    <w:rsid w:val="00A83AC3"/>
    <w:rsid w:val="00A83B64"/>
    <w:rsid w:val="00A83E4F"/>
    <w:rsid w:val="00A8400A"/>
    <w:rsid w:val="00A844DA"/>
    <w:rsid w:val="00A8455B"/>
    <w:rsid w:val="00A8457B"/>
    <w:rsid w:val="00A847EA"/>
    <w:rsid w:val="00A84D63"/>
    <w:rsid w:val="00A84D87"/>
    <w:rsid w:val="00A8529B"/>
    <w:rsid w:val="00A852AB"/>
    <w:rsid w:val="00A85752"/>
    <w:rsid w:val="00A85800"/>
    <w:rsid w:val="00A858E2"/>
    <w:rsid w:val="00A85908"/>
    <w:rsid w:val="00A865E6"/>
    <w:rsid w:val="00A86C11"/>
    <w:rsid w:val="00A86FAF"/>
    <w:rsid w:val="00A879E1"/>
    <w:rsid w:val="00A87A73"/>
    <w:rsid w:val="00A87EF5"/>
    <w:rsid w:val="00A9045F"/>
    <w:rsid w:val="00A90BEB"/>
    <w:rsid w:val="00A90CFB"/>
    <w:rsid w:val="00A919BC"/>
    <w:rsid w:val="00A92EA8"/>
    <w:rsid w:val="00A92FBD"/>
    <w:rsid w:val="00A933BC"/>
    <w:rsid w:val="00A934FA"/>
    <w:rsid w:val="00A93989"/>
    <w:rsid w:val="00A93E01"/>
    <w:rsid w:val="00A943EB"/>
    <w:rsid w:val="00A94A7E"/>
    <w:rsid w:val="00A94BDD"/>
    <w:rsid w:val="00A95213"/>
    <w:rsid w:val="00A952C1"/>
    <w:rsid w:val="00A95F35"/>
    <w:rsid w:val="00A96A07"/>
    <w:rsid w:val="00A97219"/>
    <w:rsid w:val="00A97238"/>
    <w:rsid w:val="00A97815"/>
    <w:rsid w:val="00A978A3"/>
    <w:rsid w:val="00AA0316"/>
    <w:rsid w:val="00AA054E"/>
    <w:rsid w:val="00AA0556"/>
    <w:rsid w:val="00AA0F3C"/>
    <w:rsid w:val="00AA1275"/>
    <w:rsid w:val="00AA12BB"/>
    <w:rsid w:val="00AA282D"/>
    <w:rsid w:val="00AA2A14"/>
    <w:rsid w:val="00AA30CA"/>
    <w:rsid w:val="00AA34DF"/>
    <w:rsid w:val="00AA35B3"/>
    <w:rsid w:val="00AA38CF"/>
    <w:rsid w:val="00AA3CBB"/>
    <w:rsid w:val="00AA47F5"/>
    <w:rsid w:val="00AA4958"/>
    <w:rsid w:val="00AA4E49"/>
    <w:rsid w:val="00AA4E64"/>
    <w:rsid w:val="00AA62E1"/>
    <w:rsid w:val="00AA6A9D"/>
    <w:rsid w:val="00AA6CA7"/>
    <w:rsid w:val="00AA7308"/>
    <w:rsid w:val="00AA7A65"/>
    <w:rsid w:val="00AB065F"/>
    <w:rsid w:val="00AB06A7"/>
    <w:rsid w:val="00AB0D0D"/>
    <w:rsid w:val="00AB1309"/>
    <w:rsid w:val="00AB1708"/>
    <w:rsid w:val="00AB1791"/>
    <w:rsid w:val="00AB180C"/>
    <w:rsid w:val="00AB19BB"/>
    <w:rsid w:val="00AB2AE3"/>
    <w:rsid w:val="00AB300B"/>
    <w:rsid w:val="00AB30CE"/>
    <w:rsid w:val="00AB3657"/>
    <w:rsid w:val="00AB3D51"/>
    <w:rsid w:val="00AB3DDA"/>
    <w:rsid w:val="00AB4352"/>
    <w:rsid w:val="00AB4450"/>
    <w:rsid w:val="00AB4BFB"/>
    <w:rsid w:val="00AB4C20"/>
    <w:rsid w:val="00AB4CEF"/>
    <w:rsid w:val="00AB5238"/>
    <w:rsid w:val="00AB5327"/>
    <w:rsid w:val="00AB53F5"/>
    <w:rsid w:val="00AB545B"/>
    <w:rsid w:val="00AB5EB4"/>
    <w:rsid w:val="00AB6339"/>
    <w:rsid w:val="00AB69E0"/>
    <w:rsid w:val="00AB69FC"/>
    <w:rsid w:val="00AB6B65"/>
    <w:rsid w:val="00AB785C"/>
    <w:rsid w:val="00AB7EDA"/>
    <w:rsid w:val="00AC0265"/>
    <w:rsid w:val="00AC02B9"/>
    <w:rsid w:val="00AC0367"/>
    <w:rsid w:val="00AC06E6"/>
    <w:rsid w:val="00AC0B60"/>
    <w:rsid w:val="00AC1CC2"/>
    <w:rsid w:val="00AC265D"/>
    <w:rsid w:val="00AC27FE"/>
    <w:rsid w:val="00AC2931"/>
    <w:rsid w:val="00AC29DD"/>
    <w:rsid w:val="00AC310A"/>
    <w:rsid w:val="00AC387A"/>
    <w:rsid w:val="00AC3DE7"/>
    <w:rsid w:val="00AC4015"/>
    <w:rsid w:val="00AC4F07"/>
    <w:rsid w:val="00AC5B04"/>
    <w:rsid w:val="00AC5F51"/>
    <w:rsid w:val="00AC6B3A"/>
    <w:rsid w:val="00AC6E04"/>
    <w:rsid w:val="00AC7FC2"/>
    <w:rsid w:val="00AD06CE"/>
    <w:rsid w:val="00AD08DF"/>
    <w:rsid w:val="00AD10F3"/>
    <w:rsid w:val="00AD1770"/>
    <w:rsid w:val="00AD182F"/>
    <w:rsid w:val="00AD1A1F"/>
    <w:rsid w:val="00AD1B72"/>
    <w:rsid w:val="00AD1E46"/>
    <w:rsid w:val="00AD1FAF"/>
    <w:rsid w:val="00AD2E7D"/>
    <w:rsid w:val="00AD3226"/>
    <w:rsid w:val="00AD3534"/>
    <w:rsid w:val="00AD3D6F"/>
    <w:rsid w:val="00AD40EB"/>
    <w:rsid w:val="00AD4F58"/>
    <w:rsid w:val="00AD5047"/>
    <w:rsid w:val="00AD53A2"/>
    <w:rsid w:val="00AD56DE"/>
    <w:rsid w:val="00AD5A1D"/>
    <w:rsid w:val="00AD5B81"/>
    <w:rsid w:val="00AD5C9C"/>
    <w:rsid w:val="00AD5DED"/>
    <w:rsid w:val="00AD61EC"/>
    <w:rsid w:val="00AD6EEA"/>
    <w:rsid w:val="00AD736A"/>
    <w:rsid w:val="00AD7437"/>
    <w:rsid w:val="00AD760F"/>
    <w:rsid w:val="00AD7933"/>
    <w:rsid w:val="00AD793B"/>
    <w:rsid w:val="00AD7971"/>
    <w:rsid w:val="00AD7E42"/>
    <w:rsid w:val="00AE0729"/>
    <w:rsid w:val="00AE09CD"/>
    <w:rsid w:val="00AE0C1E"/>
    <w:rsid w:val="00AE1272"/>
    <w:rsid w:val="00AE1BED"/>
    <w:rsid w:val="00AE1FAF"/>
    <w:rsid w:val="00AE201E"/>
    <w:rsid w:val="00AE254E"/>
    <w:rsid w:val="00AE27A1"/>
    <w:rsid w:val="00AE2976"/>
    <w:rsid w:val="00AE3762"/>
    <w:rsid w:val="00AE4DD8"/>
    <w:rsid w:val="00AE52D6"/>
    <w:rsid w:val="00AE5BEF"/>
    <w:rsid w:val="00AE60DD"/>
    <w:rsid w:val="00AE6973"/>
    <w:rsid w:val="00AE6BFA"/>
    <w:rsid w:val="00AE6DF2"/>
    <w:rsid w:val="00AE7271"/>
    <w:rsid w:val="00AE7CAE"/>
    <w:rsid w:val="00AE7FF8"/>
    <w:rsid w:val="00AF0372"/>
    <w:rsid w:val="00AF05EA"/>
    <w:rsid w:val="00AF0B31"/>
    <w:rsid w:val="00AF2543"/>
    <w:rsid w:val="00AF25E2"/>
    <w:rsid w:val="00AF36BD"/>
    <w:rsid w:val="00AF374C"/>
    <w:rsid w:val="00AF42A6"/>
    <w:rsid w:val="00AF48B3"/>
    <w:rsid w:val="00AF4D6D"/>
    <w:rsid w:val="00AF4D74"/>
    <w:rsid w:val="00AF4FD7"/>
    <w:rsid w:val="00AF5219"/>
    <w:rsid w:val="00AF52BF"/>
    <w:rsid w:val="00AF55CD"/>
    <w:rsid w:val="00AF5AE5"/>
    <w:rsid w:val="00AF5D64"/>
    <w:rsid w:val="00AF5DB0"/>
    <w:rsid w:val="00AF5E93"/>
    <w:rsid w:val="00AF6151"/>
    <w:rsid w:val="00AF64FE"/>
    <w:rsid w:val="00AF6963"/>
    <w:rsid w:val="00AF6C25"/>
    <w:rsid w:val="00AF6F98"/>
    <w:rsid w:val="00AF7041"/>
    <w:rsid w:val="00AF7274"/>
    <w:rsid w:val="00AF75F8"/>
    <w:rsid w:val="00AF7AF8"/>
    <w:rsid w:val="00AF7E1D"/>
    <w:rsid w:val="00B002AC"/>
    <w:rsid w:val="00B00B52"/>
    <w:rsid w:val="00B00C20"/>
    <w:rsid w:val="00B00C7D"/>
    <w:rsid w:val="00B01567"/>
    <w:rsid w:val="00B02723"/>
    <w:rsid w:val="00B033F8"/>
    <w:rsid w:val="00B03400"/>
    <w:rsid w:val="00B0348F"/>
    <w:rsid w:val="00B0363E"/>
    <w:rsid w:val="00B036EC"/>
    <w:rsid w:val="00B03BA2"/>
    <w:rsid w:val="00B03BC9"/>
    <w:rsid w:val="00B03C22"/>
    <w:rsid w:val="00B044B9"/>
    <w:rsid w:val="00B04509"/>
    <w:rsid w:val="00B0478E"/>
    <w:rsid w:val="00B04C00"/>
    <w:rsid w:val="00B05400"/>
    <w:rsid w:val="00B05674"/>
    <w:rsid w:val="00B0581A"/>
    <w:rsid w:val="00B05FEB"/>
    <w:rsid w:val="00B06572"/>
    <w:rsid w:val="00B06B18"/>
    <w:rsid w:val="00B06C85"/>
    <w:rsid w:val="00B06C9C"/>
    <w:rsid w:val="00B07301"/>
    <w:rsid w:val="00B07B6C"/>
    <w:rsid w:val="00B07D43"/>
    <w:rsid w:val="00B10231"/>
    <w:rsid w:val="00B10356"/>
    <w:rsid w:val="00B10D55"/>
    <w:rsid w:val="00B11AB9"/>
    <w:rsid w:val="00B11B00"/>
    <w:rsid w:val="00B1240C"/>
    <w:rsid w:val="00B13FBC"/>
    <w:rsid w:val="00B147D9"/>
    <w:rsid w:val="00B14F3C"/>
    <w:rsid w:val="00B14F8D"/>
    <w:rsid w:val="00B1522E"/>
    <w:rsid w:val="00B15493"/>
    <w:rsid w:val="00B15864"/>
    <w:rsid w:val="00B1599B"/>
    <w:rsid w:val="00B15E0F"/>
    <w:rsid w:val="00B1612B"/>
    <w:rsid w:val="00B1620B"/>
    <w:rsid w:val="00B164A6"/>
    <w:rsid w:val="00B16748"/>
    <w:rsid w:val="00B16BDB"/>
    <w:rsid w:val="00B17136"/>
    <w:rsid w:val="00B17973"/>
    <w:rsid w:val="00B17C9F"/>
    <w:rsid w:val="00B202F3"/>
    <w:rsid w:val="00B20E11"/>
    <w:rsid w:val="00B21030"/>
    <w:rsid w:val="00B212C6"/>
    <w:rsid w:val="00B214A2"/>
    <w:rsid w:val="00B216B1"/>
    <w:rsid w:val="00B21A87"/>
    <w:rsid w:val="00B21E8C"/>
    <w:rsid w:val="00B22337"/>
    <w:rsid w:val="00B22353"/>
    <w:rsid w:val="00B22D16"/>
    <w:rsid w:val="00B23E7F"/>
    <w:rsid w:val="00B23F94"/>
    <w:rsid w:val="00B245B0"/>
    <w:rsid w:val="00B24656"/>
    <w:rsid w:val="00B246D2"/>
    <w:rsid w:val="00B24880"/>
    <w:rsid w:val="00B24C10"/>
    <w:rsid w:val="00B25129"/>
    <w:rsid w:val="00B26A9B"/>
    <w:rsid w:val="00B305E4"/>
    <w:rsid w:val="00B306F0"/>
    <w:rsid w:val="00B3079D"/>
    <w:rsid w:val="00B30C24"/>
    <w:rsid w:val="00B30E34"/>
    <w:rsid w:val="00B3121B"/>
    <w:rsid w:val="00B3197E"/>
    <w:rsid w:val="00B31E68"/>
    <w:rsid w:val="00B31F66"/>
    <w:rsid w:val="00B321CD"/>
    <w:rsid w:val="00B32776"/>
    <w:rsid w:val="00B3277F"/>
    <w:rsid w:val="00B328D3"/>
    <w:rsid w:val="00B32AA9"/>
    <w:rsid w:val="00B33033"/>
    <w:rsid w:val="00B330E8"/>
    <w:rsid w:val="00B331B9"/>
    <w:rsid w:val="00B33347"/>
    <w:rsid w:val="00B33498"/>
    <w:rsid w:val="00B33847"/>
    <w:rsid w:val="00B33867"/>
    <w:rsid w:val="00B33C97"/>
    <w:rsid w:val="00B33EFC"/>
    <w:rsid w:val="00B341B4"/>
    <w:rsid w:val="00B3425A"/>
    <w:rsid w:val="00B3456F"/>
    <w:rsid w:val="00B346A5"/>
    <w:rsid w:val="00B34914"/>
    <w:rsid w:val="00B34A73"/>
    <w:rsid w:val="00B34B16"/>
    <w:rsid w:val="00B34BA1"/>
    <w:rsid w:val="00B35624"/>
    <w:rsid w:val="00B356AF"/>
    <w:rsid w:val="00B35BB7"/>
    <w:rsid w:val="00B36172"/>
    <w:rsid w:val="00B369C8"/>
    <w:rsid w:val="00B373C9"/>
    <w:rsid w:val="00B374DD"/>
    <w:rsid w:val="00B37D9D"/>
    <w:rsid w:val="00B403C1"/>
    <w:rsid w:val="00B403CC"/>
    <w:rsid w:val="00B4047F"/>
    <w:rsid w:val="00B40E01"/>
    <w:rsid w:val="00B4165C"/>
    <w:rsid w:val="00B41A4B"/>
    <w:rsid w:val="00B41ADB"/>
    <w:rsid w:val="00B41C2B"/>
    <w:rsid w:val="00B41E82"/>
    <w:rsid w:val="00B42519"/>
    <w:rsid w:val="00B426BD"/>
    <w:rsid w:val="00B4296B"/>
    <w:rsid w:val="00B42C11"/>
    <w:rsid w:val="00B4356F"/>
    <w:rsid w:val="00B43685"/>
    <w:rsid w:val="00B438D2"/>
    <w:rsid w:val="00B43B1E"/>
    <w:rsid w:val="00B43E98"/>
    <w:rsid w:val="00B44083"/>
    <w:rsid w:val="00B443BA"/>
    <w:rsid w:val="00B444E5"/>
    <w:rsid w:val="00B44893"/>
    <w:rsid w:val="00B44AAF"/>
    <w:rsid w:val="00B451FE"/>
    <w:rsid w:val="00B454FE"/>
    <w:rsid w:val="00B458CD"/>
    <w:rsid w:val="00B45A65"/>
    <w:rsid w:val="00B45D34"/>
    <w:rsid w:val="00B46566"/>
    <w:rsid w:val="00B465AC"/>
    <w:rsid w:val="00B46628"/>
    <w:rsid w:val="00B47290"/>
    <w:rsid w:val="00B47A8B"/>
    <w:rsid w:val="00B47B1C"/>
    <w:rsid w:val="00B47D26"/>
    <w:rsid w:val="00B502DD"/>
    <w:rsid w:val="00B50977"/>
    <w:rsid w:val="00B50C1C"/>
    <w:rsid w:val="00B51084"/>
    <w:rsid w:val="00B5121F"/>
    <w:rsid w:val="00B514B3"/>
    <w:rsid w:val="00B51B8E"/>
    <w:rsid w:val="00B51E1C"/>
    <w:rsid w:val="00B5267A"/>
    <w:rsid w:val="00B52BB7"/>
    <w:rsid w:val="00B53381"/>
    <w:rsid w:val="00B536B1"/>
    <w:rsid w:val="00B53827"/>
    <w:rsid w:val="00B53AD9"/>
    <w:rsid w:val="00B53D29"/>
    <w:rsid w:val="00B53D72"/>
    <w:rsid w:val="00B5482A"/>
    <w:rsid w:val="00B5496A"/>
    <w:rsid w:val="00B55420"/>
    <w:rsid w:val="00B55BCD"/>
    <w:rsid w:val="00B55DEF"/>
    <w:rsid w:val="00B5655C"/>
    <w:rsid w:val="00B56C7B"/>
    <w:rsid w:val="00B57128"/>
    <w:rsid w:val="00B5766F"/>
    <w:rsid w:val="00B579A6"/>
    <w:rsid w:val="00B57D9D"/>
    <w:rsid w:val="00B60B66"/>
    <w:rsid w:val="00B60B93"/>
    <w:rsid w:val="00B60FAB"/>
    <w:rsid w:val="00B61409"/>
    <w:rsid w:val="00B616F5"/>
    <w:rsid w:val="00B61BA8"/>
    <w:rsid w:val="00B61C97"/>
    <w:rsid w:val="00B62CD1"/>
    <w:rsid w:val="00B6300C"/>
    <w:rsid w:val="00B63044"/>
    <w:rsid w:val="00B63143"/>
    <w:rsid w:val="00B633FF"/>
    <w:rsid w:val="00B63855"/>
    <w:rsid w:val="00B638D8"/>
    <w:rsid w:val="00B64205"/>
    <w:rsid w:val="00B642D8"/>
    <w:rsid w:val="00B64783"/>
    <w:rsid w:val="00B64D0E"/>
    <w:rsid w:val="00B65176"/>
    <w:rsid w:val="00B651D5"/>
    <w:rsid w:val="00B6539D"/>
    <w:rsid w:val="00B653AA"/>
    <w:rsid w:val="00B65444"/>
    <w:rsid w:val="00B659C3"/>
    <w:rsid w:val="00B65FF9"/>
    <w:rsid w:val="00B66B18"/>
    <w:rsid w:val="00B670C0"/>
    <w:rsid w:val="00B671B7"/>
    <w:rsid w:val="00B67AE7"/>
    <w:rsid w:val="00B70407"/>
    <w:rsid w:val="00B706D0"/>
    <w:rsid w:val="00B719C4"/>
    <w:rsid w:val="00B7219C"/>
    <w:rsid w:val="00B72530"/>
    <w:rsid w:val="00B7255B"/>
    <w:rsid w:val="00B726F7"/>
    <w:rsid w:val="00B727BC"/>
    <w:rsid w:val="00B73422"/>
    <w:rsid w:val="00B7342E"/>
    <w:rsid w:val="00B73554"/>
    <w:rsid w:val="00B7460C"/>
    <w:rsid w:val="00B74C12"/>
    <w:rsid w:val="00B74C7A"/>
    <w:rsid w:val="00B74D98"/>
    <w:rsid w:val="00B7507A"/>
    <w:rsid w:val="00B750C9"/>
    <w:rsid w:val="00B7516A"/>
    <w:rsid w:val="00B757F2"/>
    <w:rsid w:val="00B75F33"/>
    <w:rsid w:val="00B760F0"/>
    <w:rsid w:val="00B762A0"/>
    <w:rsid w:val="00B762D2"/>
    <w:rsid w:val="00B766FA"/>
    <w:rsid w:val="00B769E0"/>
    <w:rsid w:val="00B77325"/>
    <w:rsid w:val="00B774DF"/>
    <w:rsid w:val="00B776DB"/>
    <w:rsid w:val="00B7789F"/>
    <w:rsid w:val="00B77D90"/>
    <w:rsid w:val="00B8070C"/>
    <w:rsid w:val="00B80FD8"/>
    <w:rsid w:val="00B80FE1"/>
    <w:rsid w:val="00B811C0"/>
    <w:rsid w:val="00B8158D"/>
    <w:rsid w:val="00B81620"/>
    <w:rsid w:val="00B8171A"/>
    <w:rsid w:val="00B81956"/>
    <w:rsid w:val="00B81E5C"/>
    <w:rsid w:val="00B8279D"/>
    <w:rsid w:val="00B82A11"/>
    <w:rsid w:val="00B82A39"/>
    <w:rsid w:val="00B83782"/>
    <w:rsid w:val="00B83FAF"/>
    <w:rsid w:val="00B8438B"/>
    <w:rsid w:val="00B85101"/>
    <w:rsid w:val="00B856BE"/>
    <w:rsid w:val="00B857C3"/>
    <w:rsid w:val="00B85A11"/>
    <w:rsid w:val="00B85B5F"/>
    <w:rsid w:val="00B85BF5"/>
    <w:rsid w:val="00B85CC0"/>
    <w:rsid w:val="00B85FF6"/>
    <w:rsid w:val="00B86061"/>
    <w:rsid w:val="00B87236"/>
    <w:rsid w:val="00B87540"/>
    <w:rsid w:val="00B87E16"/>
    <w:rsid w:val="00B9036B"/>
    <w:rsid w:val="00B904B3"/>
    <w:rsid w:val="00B91122"/>
    <w:rsid w:val="00B914A3"/>
    <w:rsid w:val="00B91C37"/>
    <w:rsid w:val="00B92141"/>
    <w:rsid w:val="00B9214F"/>
    <w:rsid w:val="00B925D1"/>
    <w:rsid w:val="00B9284E"/>
    <w:rsid w:val="00B92951"/>
    <w:rsid w:val="00B92A74"/>
    <w:rsid w:val="00B93887"/>
    <w:rsid w:val="00B9388A"/>
    <w:rsid w:val="00B93AAD"/>
    <w:rsid w:val="00B93C75"/>
    <w:rsid w:val="00B93D36"/>
    <w:rsid w:val="00B93EB3"/>
    <w:rsid w:val="00B940D7"/>
    <w:rsid w:val="00B941C4"/>
    <w:rsid w:val="00B942DA"/>
    <w:rsid w:val="00B94683"/>
    <w:rsid w:val="00B947FF"/>
    <w:rsid w:val="00B9482E"/>
    <w:rsid w:val="00B94B5C"/>
    <w:rsid w:val="00B94C43"/>
    <w:rsid w:val="00B94DC8"/>
    <w:rsid w:val="00B95307"/>
    <w:rsid w:val="00B95391"/>
    <w:rsid w:val="00B95487"/>
    <w:rsid w:val="00B962B8"/>
    <w:rsid w:val="00B967E1"/>
    <w:rsid w:val="00B97200"/>
    <w:rsid w:val="00B973A2"/>
    <w:rsid w:val="00B973B9"/>
    <w:rsid w:val="00B9775D"/>
    <w:rsid w:val="00B97885"/>
    <w:rsid w:val="00B97B74"/>
    <w:rsid w:val="00BA006D"/>
    <w:rsid w:val="00BA01AE"/>
    <w:rsid w:val="00BA0718"/>
    <w:rsid w:val="00BA0D16"/>
    <w:rsid w:val="00BA0F09"/>
    <w:rsid w:val="00BA1069"/>
    <w:rsid w:val="00BA11EC"/>
    <w:rsid w:val="00BA1647"/>
    <w:rsid w:val="00BA1C4E"/>
    <w:rsid w:val="00BA27B7"/>
    <w:rsid w:val="00BA2E51"/>
    <w:rsid w:val="00BA3DD7"/>
    <w:rsid w:val="00BA43DF"/>
    <w:rsid w:val="00BA4CD5"/>
    <w:rsid w:val="00BA529F"/>
    <w:rsid w:val="00BA571C"/>
    <w:rsid w:val="00BA5D9C"/>
    <w:rsid w:val="00BA5FAC"/>
    <w:rsid w:val="00BA646D"/>
    <w:rsid w:val="00BA6DC2"/>
    <w:rsid w:val="00BA6F7F"/>
    <w:rsid w:val="00BA7449"/>
    <w:rsid w:val="00BA7D2D"/>
    <w:rsid w:val="00BB0226"/>
    <w:rsid w:val="00BB0DAA"/>
    <w:rsid w:val="00BB0E2F"/>
    <w:rsid w:val="00BB108B"/>
    <w:rsid w:val="00BB19A4"/>
    <w:rsid w:val="00BB1ACB"/>
    <w:rsid w:val="00BB21BA"/>
    <w:rsid w:val="00BB2347"/>
    <w:rsid w:val="00BB2B1B"/>
    <w:rsid w:val="00BB2CF9"/>
    <w:rsid w:val="00BB2E61"/>
    <w:rsid w:val="00BB2ED2"/>
    <w:rsid w:val="00BB36AA"/>
    <w:rsid w:val="00BB36D1"/>
    <w:rsid w:val="00BB3818"/>
    <w:rsid w:val="00BB392B"/>
    <w:rsid w:val="00BB3AE0"/>
    <w:rsid w:val="00BB3D85"/>
    <w:rsid w:val="00BB425C"/>
    <w:rsid w:val="00BB4337"/>
    <w:rsid w:val="00BB4391"/>
    <w:rsid w:val="00BB45DE"/>
    <w:rsid w:val="00BB4A0B"/>
    <w:rsid w:val="00BB5007"/>
    <w:rsid w:val="00BB5B09"/>
    <w:rsid w:val="00BB5B94"/>
    <w:rsid w:val="00BB6049"/>
    <w:rsid w:val="00BB66F8"/>
    <w:rsid w:val="00BB68CB"/>
    <w:rsid w:val="00BB6B80"/>
    <w:rsid w:val="00BB6E5E"/>
    <w:rsid w:val="00BB703C"/>
    <w:rsid w:val="00BB7141"/>
    <w:rsid w:val="00BB7280"/>
    <w:rsid w:val="00BC00D2"/>
    <w:rsid w:val="00BC01D6"/>
    <w:rsid w:val="00BC082D"/>
    <w:rsid w:val="00BC0F3D"/>
    <w:rsid w:val="00BC114D"/>
    <w:rsid w:val="00BC1687"/>
    <w:rsid w:val="00BC189E"/>
    <w:rsid w:val="00BC1992"/>
    <w:rsid w:val="00BC239D"/>
    <w:rsid w:val="00BC2720"/>
    <w:rsid w:val="00BC335A"/>
    <w:rsid w:val="00BC3EE8"/>
    <w:rsid w:val="00BC4042"/>
    <w:rsid w:val="00BC49BB"/>
    <w:rsid w:val="00BC4AEA"/>
    <w:rsid w:val="00BC4E39"/>
    <w:rsid w:val="00BC53D2"/>
    <w:rsid w:val="00BC57CA"/>
    <w:rsid w:val="00BC5B1E"/>
    <w:rsid w:val="00BC60DF"/>
    <w:rsid w:val="00BC623E"/>
    <w:rsid w:val="00BC62A8"/>
    <w:rsid w:val="00BC66C8"/>
    <w:rsid w:val="00BC6915"/>
    <w:rsid w:val="00BC6E6D"/>
    <w:rsid w:val="00BC6EE1"/>
    <w:rsid w:val="00BC7318"/>
    <w:rsid w:val="00BC7578"/>
    <w:rsid w:val="00BC7F0E"/>
    <w:rsid w:val="00BD0A4D"/>
    <w:rsid w:val="00BD0C9B"/>
    <w:rsid w:val="00BD13F7"/>
    <w:rsid w:val="00BD169D"/>
    <w:rsid w:val="00BD1B5D"/>
    <w:rsid w:val="00BD1C4E"/>
    <w:rsid w:val="00BD220E"/>
    <w:rsid w:val="00BD225F"/>
    <w:rsid w:val="00BD23AB"/>
    <w:rsid w:val="00BD24EA"/>
    <w:rsid w:val="00BD2DA8"/>
    <w:rsid w:val="00BD3397"/>
    <w:rsid w:val="00BD34D2"/>
    <w:rsid w:val="00BD34E1"/>
    <w:rsid w:val="00BD35D9"/>
    <w:rsid w:val="00BD3713"/>
    <w:rsid w:val="00BD3ADC"/>
    <w:rsid w:val="00BD3CE5"/>
    <w:rsid w:val="00BD3DDA"/>
    <w:rsid w:val="00BD3EB0"/>
    <w:rsid w:val="00BD3ED8"/>
    <w:rsid w:val="00BD405A"/>
    <w:rsid w:val="00BD4486"/>
    <w:rsid w:val="00BD4787"/>
    <w:rsid w:val="00BD48F0"/>
    <w:rsid w:val="00BD4EC4"/>
    <w:rsid w:val="00BD51A5"/>
    <w:rsid w:val="00BD5E14"/>
    <w:rsid w:val="00BD5E26"/>
    <w:rsid w:val="00BD608E"/>
    <w:rsid w:val="00BD612D"/>
    <w:rsid w:val="00BD68CC"/>
    <w:rsid w:val="00BD6F3C"/>
    <w:rsid w:val="00BD7208"/>
    <w:rsid w:val="00BD7A17"/>
    <w:rsid w:val="00BD7E2A"/>
    <w:rsid w:val="00BE086B"/>
    <w:rsid w:val="00BE0B95"/>
    <w:rsid w:val="00BE0BFD"/>
    <w:rsid w:val="00BE0DEA"/>
    <w:rsid w:val="00BE1171"/>
    <w:rsid w:val="00BE1415"/>
    <w:rsid w:val="00BE149A"/>
    <w:rsid w:val="00BE178C"/>
    <w:rsid w:val="00BE2508"/>
    <w:rsid w:val="00BE2881"/>
    <w:rsid w:val="00BE29F6"/>
    <w:rsid w:val="00BE2E0D"/>
    <w:rsid w:val="00BE30C5"/>
    <w:rsid w:val="00BE3340"/>
    <w:rsid w:val="00BE3D09"/>
    <w:rsid w:val="00BE3E8C"/>
    <w:rsid w:val="00BE411C"/>
    <w:rsid w:val="00BE4A77"/>
    <w:rsid w:val="00BE4FB8"/>
    <w:rsid w:val="00BE51EC"/>
    <w:rsid w:val="00BE54C3"/>
    <w:rsid w:val="00BE5D25"/>
    <w:rsid w:val="00BE5F64"/>
    <w:rsid w:val="00BE6985"/>
    <w:rsid w:val="00BE72D1"/>
    <w:rsid w:val="00BE7542"/>
    <w:rsid w:val="00BF03D7"/>
    <w:rsid w:val="00BF086A"/>
    <w:rsid w:val="00BF096B"/>
    <w:rsid w:val="00BF0D4D"/>
    <w:rsid w:val="00BF1140"/>
    <w:rsid w:val="00BF1788"/>
    <w:rsid w:val="00BF1E10"/>
    <w:rsid w:val="00BF20FB"/>
    <w:rsid w:val="00BF233A"/>
    <w:rsid w:val="00BF289B"/>
    <w:rsid w:val="00BF299B"/>
    <w:rsid w:val="00BF2A6E"/>
    <w:rsid w:val="00BF2BE1"/>
    <w:rsid w:val="00BF2DEF"/>
    <w:rsid w:val="00BF2F59"/>
    <w:rsid w:val="00BF32D1"/>
    <w:rsid w:val="00BF3491"/>
    <w:rsid w:val="00BF3665"/>
    <w:rsid w:val="00BF3729"/>
    <w:rsid w:val="00BF37EC"/>
    <w:rsid w:val="00BF3D6B"/>
    <w:rsid w:val="00BF3DBB"/>
    <w:rsid w:val="00BF40D7"/>
    <w:rsid w:val="00BF4E4A"/>
    <w:rsid w:val="00BF50D9"/>
    <w:rsid w:val="00BF5A2C"/>
    <w:rsid w:val="00BF6066"/>
    <w:rsid w:val="00BF620C"/>
    <w:rsid w:val="00BF6249"/>
    <w:rsid w:val="00BF6607"/>
    <w:rsid w:val="00BF6C9A"/>
    <w:rsid w:val="00BF730C"/>
    <w:rsid w:val="00BF767A"/>
    <w:rsid w:val="00BF7AE0"/>
    <w:rsid w:val="00C00AF8"/>
    <w:rsid w:val="00C00C70"/>
    <w:rsid w:val="00C00C8B"/>
    <w:rsid w:val="00C014C8"/>
    <w:rsid w:val="00C01B2A"/>
    <w:rsid w:val="00C01E98"/>
    <w:rsid w:val="00C025B6"/>
    <w:rsid w:val="00C0369B"/>
    <w:rsid w:val="00C03929"/>
    <w:rsid w:val="00C044AA"/>
    <w:rsid w:val="00C04633"/>
    <w:rsid w:val="00C046DA"/>
    <w:rsid w:val="00C04B6D"/>
    <w:rsid w:val="00C04B7F"/>
    <w:rsid w:val="00C04FF0"/>
    <w:rsid w:val="00C05384"/>
    <w:rsid w:val="00C05A66"/>
    <w:rsid w:val="00C06AE7"/>
    <w:rsid w:val="00C06F30"/>
    <w:rsid w:val="00C075B7"/>
    <w:rsid w:val="00C106ED"/>
    <w:rsid w:val="00C10810"/>
    <w:rsid w:val="00C10A23"/>
    <w:rsid w:val="00C10AE3"/>
    <w:rsid w:val="00C10B90"/>
    <w:rsid w:val="00C10C19"/>
    <w:rsid w:val="00C10F8C"/>
    <w:rsid w:val="00C112FD"/>
    <w:rsid w:val="00C11655"/>
    <w:rsid w:val="00C12301"/>
    <w:rsid w:val="00C124D1"/>
    <w:rsid w:val="00C1273B"/>
    <w:rsid w:val="00C1288A"/>
    <w:rsid w:val="00C12913"/>
    <w:rsid w:val="00C12B0B"/>
    <w:rsid w:val="00C12FA1"/>
    <w:rsid w:val="00C139BC"/>
    <w:rsid w:val="00C13C71"/>
    <w:rsid w:val="00C13DA1"/>
    <w:rsid w:val="00C13E70"/>
    <w:rsid w:val="00C14185"/>
    <w:rsid w:val="00C14386"/>
    <w:rsid w:val="00C1472E"/>
    <w:rsid w:val="00C14961"/>
    <w:rsid w:val="00C14E19"/>
    <w:rsid w:val="00C15075"/>
    <w:rsid w:val="00C1534E"/>
    <w:rsid w:val="00C15D18"/>
    <w:rsid w:val="00C15F42"/>
    <w:rsid w:val="00C16001"/>
    <w:rsid w:val="00C164FD"/>
    <w:rsid w:val="00C174B2"/>
    <w:rsid w:val="00C174ED"/>
    <w:rsid w:val="00C17804"/>
    <w:rsid w:val="00C17DBB"/>
    <w:rsid w:val="00C17ED5"/>
    <w:rsid w:val="00C20761"/>
    <w:rsid w:val="00C209A1"/>
    <w:rsid w:val="00C21236"/>
    <w:rsid w:val="00C217C3"/>
    <w:rsid w:val="00C21EA0"/>
    <w:rsid w:val="00C21EFD"/>
    <w:rsid w:val="00C22608"/>
    <w:rsid w:val="00C2260C"/>
    <w:rsid w:val="00C23418"/>
    <w:rsid w:val="00C234CE"/>
    <w:rsid w:val="00C2375E"/>
    <w:rsid w:val="00C23FF2"/>
    <w:rsid w:val="00C241A4"/>
    <w:rsid w:val="00C24644"/>
    <w:rsid w:val="00C24A9B"/>
    <w:rsid w:val="00C257EB"/>
    <w:rsid w:val="00C25B79"/>
    <w:rsid w:val="00C26203"/>
    <w:rsid w:val="00C26380"/>
    <w:rsid w:val="00C26B4D"/>
    <w:rsid w:val="00C26C57"/>
    <w:rsid w:val="00C2718C"/>
    <w:rsid w:val="00C2756D"/>
    <w:rsid w:val="00C27774"/>
    <w:rsid w:val="00C2797F"/>
    <w:rsid w:val="00C301D9"/>
    <w:rsid w:val="00C30265"/>
    <w:rsid w:val="00C302B0"/>
    <w:rsid w:val="00C30389"/>
    <w:rsid w:val="00C30396"/>
    <w:rsid w:val="00C30592"/>
    <w:rsid w:val="00C30768"/>
    <w:rsid w:val="00C308E4"/>
    <w:rsid w:val="00C3136A"/>
    <w:rsid w:val="00C31417"/>
    <w:rsid w:val="00C32037"/>
    <w:rsid w:val="00C32C80"/>
    <w:rsid w:val="00C32D7B"/>
    <w:rsid w:val="00C33165"/>
    <w:rsid w:val="00C334B0"/>
    <w:rsid w:val="00C33C48"/>
    <w:rsid w:val="00C3463E"/>
    <w:rsid w:val="00C354F1"/>
    <w:rsid w:val="00C35557"/>
    <w:rsid w:val="00C359B7"/>
    <w:rsid w:val="00C35EEF"/>
    <w:rsid w:val="00C366E6"/>
    <w:rsid w:val="00C369C4"/>
    <w:rsid w:val="00C36EA4"/>
    <w:rsid w:val="00C36EB9"/>
    <w:rsid w:val="00C36EBF"/>
    <w:rsid w:val="00C37270"/>
    <w:rsid w:val="00C377F1"/>
    <w:rsid w:val="00C37C66"/>
    <w:rsid w:val="00C40014"/>
    <w:rsid w:val="00C401DA"/>
    <w:rsid w:val="00C40478"/>
    <w:rsid w:val="00C40F5A"/>
    <w:rsid w:val="00C40F6C"/>
    <w:rsid w:val="00C416B1"/>
    <w:rsid w:val="00C41BEF"/>
    <w:rsid w:val="00C42078"/>
    <w:rsid w:val="00C42303"/>
    <w:rsid w:val="00C42CB6"/>
    <w:rsid w:val="00C42FC4"/>
    <w:rsid w:val="00C4353F"/>
    <w:rsid w:val="00C435C4"/>
    <w:rsid w:val="00C44078"/>
    <w:rsid w:val="00C44973"/>
    <w:rsid w:val="00C451AF"/>
    <w:rsid w:val="00C458A2"/>
    <w:rsid w:val="00C45EAA"/>
    <w:rsid w:val="00C45F47"/>
    <w:rsid w:val="00C46048"/>
    <w:rsid w:val="00C464BB"/>
    <w:rsid w:val="00C46502"/>
    <w:rsid w:val="00C46CBC"/>
    <w:rsid w:val="00C472DE"/>
    <w:rsid w:val="00C47320"/>
    <w:rsid w:val="00C4769B"/>
    <w:rsid w:val="00C47D60"/>
    <w:rsid w:val="00C5041D"/>
    <w:rsid w:val="00C507F5"/>
    <w:rsid w:val="00C51E15"/>
    <w:rsid w:val="00C52804"/>
    <w:rsid w:val="00C52979"/>
    <w:rsid w:val="00C52C1C"/>
    <w:rsid w:val="00C52CF1"/>
    <w:rsid w:val="00C535B8"/>
    <w:rsid w:val="00C536B6"/>
    <w:rsid w:val="00C5399B"/>
    <w:rsid w:val="00C54499"/>
    <w:rsid w:val="00C5459B"/>
    <w:rsid w:val="00C5459C"/>
    <w:rsid w:val="00C55205"/>
    <w:rsid w:val="00C555C1"/>
    <w:rsid w:val="00C557E2"/>
    <w:rsid w:val="00C55C0E"/>
    <w:rsid w:val="00C55D8F"/>
    <w:rsid w:val="00C560DC"/>
    <w:rsid w:val="00C561E3"/>
    <w:rsid w:val="00C5673C"/>
    <w:rsid w:val="00C56817"/>
    <w:rsid w:val="00C56D92"/>
    <w:rsid w:val="00C5758A"/>
    <w:rsid w:val="00C575BF"/>
    <w:rsid w:val="00C5760A"/>
    <w:rsid w:val="00C57E97"/>
    <w:rsid w:val="00C60AE2"/>
    <w:rsid w:val="00C60DC8"/>
    <w:rsid w:val="00C60FD3"/>
    <w:rsid w:val="00C6114E"/>
    <w:rsid w:val="00C61E60"/>
    <w:rsid w:val="00C623E4"/>
    <w:rsid w:val="00C62934"/>
    <w:rsid w:val="00C63440"/>
    <w:rsid w:val="00C6361A"/>
    <w:rsid w:val="00C63A14"/>
    <w:rsid w:val="00C63F45"/>
    <w:rsid w:val="00C643AA"/>
    <w:rsid w:val="00C645D5"/>
    <w:rsid w:val="00C648C3"/>
    <w:rsid w:val="00C654AB"/>
    <w:rsid w:val="00C6560A"/>
    <w:rsid w:val="00C65772"/>
    <w:rsid w:val="00C65D70"/>
    <w:rsid w:val="00C66073"/>
    <w:rsid w:val="00C66171"/>
    <w:rsid w:val="00C66FF1"/>
    <w:rsid w:val="00C671B3"/>
    <w:rsid w:val="00C6728E"/>
    <w:rsid w:val="00C674C9"/>
    <w:rsid w:val="00C67579"/>
    <w:rsid w:val="00C67DBA"/>
    <w:rsid w:val="00C7012B"/>
    <w:rsid w:val="00C704F3"/>
    <w:rsid w:val="00C70B45"/>
    <w:rsid w:val="00C71CFC"/>
    <w:rsid w:val="00C71FC1"/>
    <w:rsid w:val="00C722F4"/>
    <w:rsid w:val="00C72A15"/>
    <w:rsid w:val="00C73124"/>
    <w:rsid w:val="00C732B3"/>
    <w:rsid w:val="00C742DA"/>
    <w:rsid w:val="00C74748"/>
    <w:rsid w:val="00C749C8"/>
    <w:rsid w:val="00C75108"/>
    <w:rsid w:val="00C7525C"/>
    <w:rsid w:val="00C75385"/>
    <w:rsid w:val="00C755D1"/>
    <w:rsid w:val="00C75753"/>
    <w:rsid w:val="00C75D00"/>
    <w:rsid w:val="00C760E7"/>
    <w:rsid w:val="00C76808"/>
    <w:rsid w:val="00C77168"/>
    <w:rsid w:val="00C774EC"/>
    <w:rsid w:val="00C774FD"/>
    <w:rsid w:val="00C777B9"/>
    <w:rsid w:val="00C77948"/>
    <w:rsid w:val="00C80806"/>
    <w:rsid w:val="00C808E3"/>
    <w:rsid w:val="00C80F9E"/>
    <w:rsid w:val="00C810C2"/>
    <w:rsid w:val="00C8194B"/>
    <w:rsid w:val="00C81B03"/>
    <w:rsid w:val="00C81D5F"/>
    <w:rsid w:val="00C82192"/>
    <w:rsid w:val="00C82544"/>
    <w:rsid w:val="00C82791"/>
    <w:rsid w:val="00C827F4"/>
    <w:rsid w:val="00C82920"/>
    <w:rsid w:val="00C829F6"/>
    <w:rsid w:val="00C83952"/>
    <w:rsid w:val="00C83AE7"/>
    <w:rsid w:val="00C8409F"/>
    <w:rsid w:val="00C840B5"/>
    <w:rsid w:val="00C840E0"/>
    <w:rsid w:val="00C847E2"/>
    <w:rsid w:val="00C8482F"/>
    <w:rsid w:val="00C84ED5"/>
    <w:rsid w:val="00C85104"/>
    <w:rsid w:val="00C851B6"/>
    <w:rsid w:val="00C854B7"/>
    <w:rsid w:val="00C85D17"/>
    <w:rsid w:val="00C86451"/>
    <w:rsid w:val="00C869A0"/>
    <w:rsid w:val="00C870D4"/>
    <w:rsid w:val="00C870FC"/>
    <w:rsid w:val="00C875A6"/>
    <w:rsid w:val="00C8782A"/>
    <w:rsid w:val="00C9064F"/>
    <w:rsid w:val="00C90D83"/>
    <w:rsid w:val="00C90F02"/>
    <w:rsid w:val="00C914A9"/>
    <w:rsid w:val="00C9161D"/>
    <w:rsid w:val="00C923AD"/>
    <w:rsid w:val="00C930BE"/>
    <w:rsid w:val="00C93CCE"/>
    <w:rsid w:val="00C940DA"/>
    <w:rsid w:val="00C941A1"/>
    <w:rsid w:val="00C941E8"/>
    <w:rsid w:val="00C946A1"/>
    <w:rsid w:val="00C94F92"/>
    <w:rsid w:val="00C95276"/>
    <w:rsid w:val="00C95D08"/>
    <w:rsid w:val="00C95F6B"/>
    <w:rsid w:val="00C96058"/>
    <w:rsid w:val="00C96128"/>
    <w:rsid w:val="00C96898"/>
    <w:rsid w:val="00C96B36"/>
    <w:rsid w:val="00C96B5A"/>
    <w:rsid w:val="00C97342"/>
    <w:rsid w:val="00C976BB"/>
    <w:rsid w:val="00C977B9"/>
    <w:rsid w:val="00C97D91"/>
    <w:rsid w:val="00C97F0A"/>
    <w:rsid w:val="00CA0068"/>
    <w:rsid w:val="00CA0290"/>
    <w:rsid w:val="00CA044D"/>
    <w:rsid w:val="00CA1377"/>
    <w:rsid w:val="00CA13B1"/>
    <w:rsid w:val="00CA1F53"/>
    <w:rsid w:val="00CA242E"/>
    <w:rsid w:val="00CA2626"/>
    <w:rsid w:val="00CA2C48"/>
    <w:rsid w:val="00CA2EEC"/>
    <w:rsid w:val="00CA3142"/>
    <w:rsid w:val="00CA3180"/>
    <w:rsid w:val="00CA34DB"/>
    <w:rsid w:val="00CA384A"/>
    <w:rsid w:val="00CA3961"/>
    <w:rsid w:val="00CA39CE"/>
    <w:rsid w:val="00CA3DE8"/>
    <w:rsid w:val="00CA408F"/>
    <w:rsid w:val="00CA429A"/>
    <w:rsid w:val="00CA4743"/>
    <w:rsid w:val="00CA4819"/>
    <w:rsid w:val="00CA4A57"/>
    <w:rsid w:val="00CA51A3"/>
    <w:rsid w:val="00CA56A7"/>
    <w:rsid w:val="00CA5C97"/>
    <w:rsid w:val="00CA5CA8"/>
    <w:rsid w:val="00CA6150"/>
    <w:rsid w:val="00CA6177"/>
    <w:rsid w:val="00CA6709"/>
    <w:rsid w:val="00CA7A69"/>
    <w:rsid w:val="00CB00F1"/>
    <w:rsid w:val="00CB013E"/>
    <w:rsid w:val="00CB0169"/>
    <w:rsid w:val="00CB077B"/>
    <w:rsid w:val="00CB0A3F"/>
    <w:rsid w:val="00CB117D"/>
    <w:rsid w:val="00CB184B"/>
    <w:rsid w:val="00CB1D03"/>
    <w:rsid w:val="00CB20D2"/>
    <w:rsid w:val="00CB20E4"/>
    <w:rsid w:val="00CB26CF"/>
    <w:rsid w:val="00CB2889"/>
    <w:rsid w:val="00CB2DB1"/>
    <w:rsid w:val="00CB32AD"/>
    <w:rsid w:val="00CB3DD9"/>
    <w:rsid w:val="00CB4015"/>
    <w:rsid w:val="00CB4C98"/>
    <w:rsid w:val="00CB4CFE"/>
    <w:rsid w:val="00CB4D91"/>
    <w:rsid w:val="00CB4E4D"/>
    <w:rsid w:val="00CB5AD3"/>
    <w:rsid w:val="00CB63BD"/>
    <w:rsid w:val="00CB748B"/>
    <w:rsid w:val="00CB7568"/>
    <w:rsid w:val="00CB7979"/>
    <w:rsid w:val="00CB7FA5"/>
    <w:rsid w:val="00CC0034"/>
    <w:rsid w:val="00CC0257"/>
    <w:rsid w:val="00CC07D2"/>
    <w:rsid w:val="00CC0BA9"/>
    <w:rsid w:val="00CC154C"/>
    <w:rsid w:val="00CC1E6D"/>
    <w:rsid w:val="00CC2069"/>
    <w:rsid w:val="00CC27FA"/>
    <w:rsid w:val="00CC2A83"/>
    <w:rsid w:val="00CC30BA"/>
    <w:rsid w:val="00CC35FC"/>
    <w:rsid w:val="00CC39E4"/>
    <w:rsid w:val="00CC3A9A"/>
    <w:rsid w:val="00CC3DE5"/>
    <w:rsid w:val="00CC40AD"/>
    <w:rsid w:val="00CC41A9"/>
    <w:rsid w:val="00CC4392"/>
    <w:rsid w:val="00CC4618"/>
    <w:rsid w:val="00CC470C"/>
    <w:rsid w:val="00CC4A4F"/>
    <w:rsid w:val="00CC5237"/>
    <w:rsid w:val="00CC55F6"/>
    <w:rsid w:val="00CC57ED"/>
    <w:rsid w:val="00CC5AFE"/>
    <w:rsid w:val="00CC6264"/>
    <w:rsid w:val="00CC67BD"/>
    <w:rsid w:val="00CC797C"/>
    <w:rsid w:val="00CC7A7B"/>
    <w:rsid w:val="00CD07A2"/>
    <w:rsid w:val="00CD1685"/>
    <w:rsid w:val="00CD1AE7"/>
    <w:rsid w:val="00CD1FAF"/>
    <w:rsid w:val="00CD2FA7"/>
    <w:rsid w:val="00CD3221"/>
    <w:rsid w:val="00CD4082"/>
    <w:rsid w:val="00CD501E"/>
    <w:rsid w:val="00CD522F"/>
    <w:rsid w:val="00CD53F1"/>
    <w:rsid w:val="00CD5970"/>
    <w:rsid w:val="00CD5AD6"/>
    <w:rsid w:val="00CD5F28"/>
    <w:rsid w:val="00CD60DE"/>
    <w:rsid w:val="00CD61FE"/>
    <w:rsid w:val="00CD66D5"/>
    <w:rsid w:val="00CD6A65"/>
    <w:rsid w:val="00CD7445"/>
    <w:rsid w:val="00CD7CD6"/>
    <w:rsid w:val="00CE0A0F"/>
    <w:rsid w:val="00CE0B23"/>
    <w:rsid w:val="00CE203F"/>
    <w:rsid w:val="00CE239E"/>
    <w:rsid w:val="00CE26F5"/>
    <w:rsid w:val="00CE2DF2"/>
    <w:rsid w:val="00CE2E39"/>
    <w:rsid w:val="00CE3110"/>
    <w:rsid w:val="00CE37B0"/>
    <w:rsid w:val="00CE4743"/>
    <w:rsid w:val="00CE4CAE"/>
    <w:rsid w:val="00CE534E"/>
    <w:rsid w:val="00CE53AA"/>
    <w:rsid w:val="00CE54D0"/>
    <w:rsid w:val="00CE5C47"/>
    <w:rsid w:val="00CE5E49"/>
    <w:rsid w:val="00CE5F10"/>
    <w:rsid w:val="00CE6C98"/>
    <w:rsid w:val="00CE6C9B"/>
    <w:rsid w:val="00CE7748"/>
    <w:rsid w:val="00CE7FFE"/>
    <w:rsid w:val="00CF050F"/>
    <w:rsid w:val="00CF1236"/>
    <w:rsid w:val="00CF182D"/>
    <w:rsid w:val="00CF18B6"/>
    <w:rsid w:val="00CF1950"/>
    <w:rsid w:val="00CF1FF7"/>
    <w:rsid w:val="00CF2135"/>
    <w:rsid w:val="00CF2223"/>
    <w:rsid w:val="00CF2362"/>
    <w:rsid w:val="00CF27AD"/>
    <w:rsid w:val="00CF2957"/>
    <w:rsid w:val="00CF2EF0"/>
    <w:rsid w:val="00CF3305"/>
    <w:rsid w:val="00CF33E5"/>
    <w:rsid w:val="00CF3B8B"/>
    <w:rsid w:val="00CF419D"/>
    <w:rsid w:val="00CF42BE"/>
    <w:rsid w:val="00CF4725"/>
    <w:rsid w:val="00CF4A45"/>
    <w:rsid w:val="00CF4A60"/>
    <w:rsid w:val="00CF4EC8"/>
    <w:rsid w:val="00CF56EE"/>
    <w:rsid w:val="00CF5C8E"/>
    <w:rsid w:val="00CF6085"/>
    <w:rsid w:val="00CF619B"/>
    <w:rsid w:val="00CF7116"/>
    <w:rsid w:val="00CF7E90"/>
    <w:rsid w:val="00CF7F66"/>
    <w:rsid w:val="00D00A0F"/>
    <w:rsid w:val="00D00B3D"/>
    <w:rsid w:val="00D0144A"/>
    <w:rsid w:val="00D02C9E"/>
    <w:rsid w:val="00D0398A"/>
    <w:rsid w:val="00D03FB1"/>
    <w:rsid w:val="00D0404B"/>
    <w:rsid w:val="00D046A2"/>
    <w:rsid w:val="00D050EC"/>
    <w:rsid w:val="00D051C9"/>
    <w:rsid w:val="00D05BC3"/>
    <w:rsid w:val="00D05C28"/>
    <w:rsid w:val="00D05DBB"/>
    <w:rsid w:val="00D06C6C"/>
    <w:rsid w:val="00D102E3"/>
    <w:rsid w:val="00D10DDC"/>
    <w:rsid w:val="00D12153"/>
    <w:rsid w:val="00D121A8"/>
    <w:rsid w:val="00D12413"/>
    <w:rsid w:val="00D12776"/>
    <w:rsid w:val="00D13C38"/>
    <w:rsid w:val="00D13CFB"/>
    <w:rsid w:val="00D13D12"/>
    <w:rsid w:val="00D13F26"/>
    <w:rsid w:val="00D14305"/>
    <w:rsid w:val="00D14697"/>
    <w:rsid w:val="00D15AB8"/>
    <w:rsid w:val="00D15C85"/>
    <w:rsid w:val="00D16189"/>
    <w:rsid w:val="00D1692A"/>
    <w:rsid w:val="00D16A38"/>
    <w:rsid w:val="00D172EC"/>
    <w:rsid w:val="00D17C98"/>
    <w:rsid w:val="00D17DAD"/>
    <w:rsid w:val="00D17DB6"/>
    <w:rsid w:val="00D2005D"/>
    <w:rsid w:val="00D202AE"/>
    <w:rsid w:val="00D204BF"/>
    <w:rsid w:val="00D20C10"/>
    <w:rsid w:val="00D218F2"/>
    <w:rsid w:val="00D21D4A"/>
    <w:rsid w:val="00D21D58"/>
    <w:rsid w:val="00D2202B"/>
    <w:rsid w:val="00D22061"/>
    <w:rsid w:val="00D229FE"/>
    <w:rsid w:val="00D22F91"/>
    <w:rsid w:val="00D238AF"/>
    <w:rsid w:val="00D239F6"/>
    <w:rsid w:val="00D23E57"/>
    <w:rsid w:val="00D23F71"/>
    <w:rsid w:val="00D240AD"/>
    <w:rsid w:val="00D241D7"/>
    <w:rsid w:val="00D2472B"/>
    <w:rsid w:val="00D24C29"/>
    <w:rsid w:val="00D24F52"/>
    <w:rsid w:val="00D25056"/>
    <w:rsid w:val="00D25193"/>
    <w:rsid w:val="00D251FE"/>
    <w:rsid w:val="00D253B9"/>
    <w:rsid w:val="00D25695"/>
    <w:rsid w:val="00D259B4"/>
    <w:rsid w:val="00D26769"/>
    <w:rsid w:val="00D26849"/>
    <w:rsid w:val="00D26A81"/>
    <w:rsid w:val="00D26B68"/>
    <w:rsid w:val="00D26B7B"/>
    <w:rsid w:val="00D26F20"/>
    <w:rsid w:val="00D270C7"/>
    <w:rsid w:val="00D273A1"/>
    <w:rsid w:val="00D27772"/>
    <w:rsid w:val="00D279FC"/>
    <w:rsid w:val="00D27BE6"/>
    <w:rsid w:val="00D27ED6"/>
    <w:rsid w:val="00D305D3"/>
    <w:rsid w:val="00D307A4"/>
    <w:rsid w:val="00D308CA"/>
    <w:rsid w:val="00D31A3E"/>
    <w:rsid w:val="00D321DF"/>
    <w:rsid w:val="00D322ED"/>
    <w:rsid w:val="00D32B59"/>
    <w:rsid w:val="00D3320F"/>
    <w:rsid w:val="00D336DE"/>
    <w:rsid w:val="00D34A72"/>
    <w:rsid w:val="00D34DEE"/>
    <w:rsid w:val="00D35359"/>
    <w:rsid w:val="00D3547C"/>
    <w:rsid w:val="00D354D3"/>
    <w:rsid w:val="00D3578C"/>
    <w:rsid w:val="00D358B9"/>
    <w:rsid w:val="00D36140"/>
    <w:rsid w:val="00D3616D"/>
    <w:rsid w:val="00D3617C"/>
    <w:rsid w:val="00D364F8"/>
    <w:rsid w:val="00D3652E"/>
    <w:rsid w:val="00D368AE"/>
    <w:rsid w:val="00D36DC5"/>
    <w:rsid w:val="00D400AB"/>
    <w:rsid w:val="00D40EEB"/>
    <w:rsid w:val="00D41C64"/>
    <w:rsid w:val="00D41CF2"/>
    <w:rsid w:val="00D41EA4"/>
    <w:rsid w:val="00D41F9C"/>
    <w:rsid w:val="00D423AA"/>
    <w:rsid w:val="00D425C2"/>
    <w:rsid w:val="00D426B4"/>
    <w:rsid w:val="00D43293"/>
    <w:rsid w:val="00D435F3"/>
    <w:rsid w:val="00D439C9"/>
    <w:rsid w:val="00D43C5A"/>
    <w:rsid w:val="00D43F12"/>
    <w:rsid w:val="00D449E2"/>
    <w:rsid w:val="00D45A56"/>
    <w:rsid w:val="00D4670A"/>
    <w:rsid w:val="00D467DC"/>
    <w:rsid w:val="00D46905"/>
    <w:rsid w:val="00D46C22"/>
    <w:rsid w:val="00D47122"/>
    <w:rsid w:val="00D47E73"/>
    <w:rsid w:val="00D50044"/>
    <w:rsid w:val="00D50060"/>
    <w:rsid w:val="00D503EE"/>
    <w:rsid w:val="00D509C9"/>
    <w:rsid w:val="00D5134E"/>
    <w:rsid w:val="00D517F9"/>
    <w:rsid w:val="00D51859"/>
    <w:rsid w:val="00D51A78"/>
    <w:rsid w:val="00D51E64"/>
    <w:rsid w:val="00D521EB"/>
    <w:rsid w:val="00D522BD"/>
    <w:rsid w:val="00D525B3"/>
    <w:rsid w:val="00D525E5"/>
    <w:rsid w:val="00D52F2A"/>
    <w:rsid w:val="00D52FBF"/>
    <w:rsid w:val="00D531A6"/>
    <w:rsid w:val="00D531F4"/>
    <w:rsid w:val="00D5362A"/>
    <w:rsid w:val="00D54195"/>
    <w:rsid w:val="00D544C6"/>
    <w:rsid w:val="00D546BB"/>
    <w:rsid w:val="00D54C7C"/>
    <w:rsid w:val="00D54E59"/>
    <w:rsid w:val="00D5529F"/>
    <w:rsid w:val="00D557D5"/>
    <w:rsid w:val="00D56491"/>
    <w:rsid w:val="00D566B0"/>
    <w:rsid w:val="00D56D90"/>
    <w:rsid w:val="00D57305"/>
    <w:rsid w:val="00D577FD"/>
    <w:rsid w:val="00D57E9D"/>
    <w:rsid w:val="00D6111B"/>
    <w:rsid w:val="00D61452"/>
    <w:rsid w:val="00D61A09"/>
    <w:rsid w:val="00D61E7F"/>
    <w:rsid w:val="00D61F40"/>
    <w:rsid w:val="00D625FA"/>
    <w:rsid w:val="00D62EAE"/>
    <w:rsid w:val="00D63DAE"/>
    <w:rsid w:val="00D646DB"/>
    <w:rsid w:val="00D647C1"/>
    <w:rsid w:val="00D64E23"/>
    <w:rsid w:val="00D65771"/>
    <w:rsid w:val="00D658D7"/>
    <w:rsid w:val="00D65983"/>
    <w:rsid w:val="00D65AAA"/>
    <w:rsid w:val="00D65C3A"/>
    <w:rsid w:val="00D665EA"/>
    <w:rsid w:val="00D66CBE"/>
    <w:rsid w:val="00D673EB"/>
    <w:rsid w:val="00D679AF"/>
    <w:rsid w:val="00D67A6D"/>
    <w:rsid w:val="00D709DF"/>
    <w:rsid w:val="00D70B5B"/>
    <w:rsid w:val="00D7108C"/>
    <w:rsid w:val="00D71217"/>
    <w:rsid w:val="00D716FC"/>
    <w:rsid w:val="00D7175D"/>
    <w:rsid w:val="00D718E2"/>
    <w:rsid w:val="00D71BD4"/>
    <w:rsid w:val="00D71BFE"/>
    <w:rsid w:val="00D71C2A"/>
    <w:rsid w:val="00D72D47"/>
    <w:rsid w:val="00D72F51"/>
    <w:rsid w:val="00D7314D"/>
    <w:rsid w:val="00D73296"/>
    <w:rsid w:val="00D73D51"/>
    <w:rsid w:val="00D745E1"/>
    <w:rsid w:val="00D74643"/>
    <w:rsid w:val="00D7466F"/>
    <w:rsid w:val="00D74BF5"/>
    <w:rsid w:val="00D74F27"/>
    <w:rsid w:val="00D75698"/>
    <w:rsid w:val="00D756EB"/>
    <w:rsid w:val="00D75FAC"/>
    <w:rsid w:val="00D75FBF"/>
    <w:rsid w:val="00D76015"/>
    <w:rsid w:val="00D76A45"/>
    <w:rsid w:val="00D76A4E"/>
    <w:rsid w:val="00D76F4F"/>
    <w:rsid w:val="00D773EF"/>
    <w:rsid w:val="00D7776A"/>
    <w:rsid w:val="00D77DBA"/>
    <w:rsid w:val="00D80685"/>
    <w:rsid w:val="00D80759"/>
    <w:rsid w:val="00D808D2"/>
    <w:rsid w:val="00D808FF"/>
    <w:rsid w:val="00D80EC8"/>
    <w:rsid w:val="00D81EAB"/>
    <w:rsid w:val="00D82647"/>
    <w:rsid w:val="00D8275E"/>
    <w:rsid w:val="00D83502"/>
    <w:rsid w:val="00D83BA5"/>
    <w:rsid w:val="00D83C61"/>
    <w:rsid w:val="00D83C64"/>
    <w:rsid w:val="00D85936"/>
    <w:rsid w:val="00D85F0B"/>
    <w:rsid w:val="00D8631E"/>
    <w:rsid w:val="00D874C0"/>
    <w:rsid w:val="00D87C82"/>
    <w:rsid w:val="00D900D8"/>
    <w:rsid w:val="00D90CFA"/>
    <w:rsid w:val="00D91031"/>
    <w:rsid w:val="00D91F01"/>
    <w:rsid w:val="00D92074"/>
    <w:rsid w:val="00D922C4"/>
    <w:rsid w:val="00D922F9"/>
    <w:rsid w:val="00D923CE"/>
    <w:rsid w:val="00D92576"/>
    <w:rsid w:val="00D9269C"/>
    <w:rsid w:val="00D92918"/>
    <w:rsid w:val="00D929C9"/>
    <w:rsid w:val="00D92FAD"/>
    <w:rsid w:val="00D93AAD"/>
    <w:rsid w:val="00D93C3D"/>
    <w:rsid w:val="00D9403A"/>
    <w:rsid w:val="00D940E4"/>
    <w:rsid w:val="00D94900"/>
    <w:rsid w:val="00D94A19"/>
    <w:rsid w:val="00D94A6F"/>
    <w:rsid w:val="00D94F89"/>
    <w:rsid w:val="00D95D09"/>
    <w:rsid w:val="00D96190"/>
    <w:rsid w:val="00D9620D"/>
    <w:rsid w:val="00D96680"/>
    <w:rsid w:val="00D96774"/>
    <w:rsid w:val="00D96876"/>
    <w:rsid w:val="00D96952"/>
    <w:rsid w:val="00D96999"/>
    <w:rsid w:val="00D96E5B"/>
    <w:rsid w:val="00D97B73"/>
    <w:rsid w:val="00DA058E"/>
    <w:rsid w:val="00DA082F"/>
    <w:rsid w:val="00DA0AAC"/>
    <w:rsid w:val="00DA12D8"/>
    <w:rsid w:val="00DA154F"/>
    <w:rsid w:val="00DA174D"/>
    <w:rsid w:val="00DA1A1F"/>
    <w:rsid w:val="00DA1D84"/>
    <w:rsid w:val="00DA1DE8"/>
    <w:rsid w:val="00DA2167"/>
    <w:rsid w:val="00DA235F"/>
    <w:rsid w:val="00DA26FB"/>
    <w:rsid w:val="00DA27A6"/>
    <w:rsid w:val="00DA2B20"/>
    <w:rsid w:val="00DA2C58"/>
    <w:rsid w:val="00DA2D1E"/>
    <w:rsid w:val="00DA2D51"/>
    <w:rsid w:val="00DA32D1"/>
    <w:rsid w:val="00DA337F"/>
    <w:rsid w:val="00DA359C"/>
    <w:rsid w:val="00DA43E9"/>
    <w:rsid w:val="00DA46EE"/>
    <w:rsid w:val="00DA4735"/>
    <w:rsid w:val="00DA4A86"/>
    <w:rsid w:val="00DA4A95"/>
    <w:rsid w:val="00DA50EB"/>
    <w:rsid w:val="00DA63FF"/>
    <w:rsid w:val="00DA6F89"/>
    <w:rsid w:val="00DA76BA"/>
    <w:rsid w:val="00DA76E0"/>
    <w:rsid w:val="00DB067F"/>
    <w:rsid w:val="00DB1235"/>
    <w:rsid w:val="00DB12D7"/>
    <w:rsid w:val="00DB13E0"/>
    <w:rsid w:val="00DB1CBC"/>
    <w:rsid w:val="00DB22D0"/>
    <w:rsid w:val="00DB2377"/>
    <w:rsid w:val="00DB26E6"/>
    <w:rsid w:val="00DB30E5"/>
    <w:rsid w:val="00DB3466"/>
    <w:rsid w:val="00DB39A4"/>
    <w:rsid w:val="00DB3C48"/>
    <w:rsid w:val="00DB3C7B"/>
    <w:rsid w:val="00DB3EDE"/>
    <w:rsid w:val="00DB424C"/>
    <w:rsid w:val="00DB4338"/>
    <w:rsid w:val="00DB4466"/>
    <w:rsid w:val="00DB4A65"/>
    <w:rsid w:val="00DB4EA7"/>
    <w:rsid w:val="00DB571A"/>
    <w:rsid w:val="00DB5756"/>
    <w:rsid w:val="00DB5CB6"/>
    <w:rsid w:val="00DB5DC1"/>
    <w:rsid w:val="00DB660C"/>
    <w:rsid w:val="00DB7924"/>
    <w:rsid w:val="00DC00B3"/>
    <w:rsid w:val="00DC03AD"/>
    <w:rsid w:val="00DC04F7"/>
    <w:rsid w:val="00DC05F2"/>
    <w:rsid w:val="00DC0611"/>
    <w:rsid w:val="00DC08F5"/>
    <w:rsid w:val="00DC09A0"/>
    <w:rsid w:val="00DC0A5D"/>
    <w:rsid w:val="00DC0F57"/>
    <w:rsid w:val="00DC1541"/>
    <w:rsid w:val="00DC189A"/>
    <w:rsid w:val="00DC268C"/>
    <w:rsid w:val="00DC29EF"/>
    <w:rsid w:val="00DC29FC"/>
    <w:rsid w:val="00DC2AC2"/>
    <w:rsid w:val="00DC3106"/>
    <w:rsid w:val="00DC3874"/>
    <w:rsid w:val="00DC42B9"/>
    <w:rsid w:val="00DC44D5"/>
    <w:rsid w:val="00DC459E"/>
    <w:rsid w:val="00DC4630"/>
    <w:rsid w:val="00DC47B8"/>
    <w:rsid w:val="00DC4D5D"/>
    <w:rsid w:val="00DC501F"/>
    <w:rsid w:val="00DC5242"/>
    <w:rsid w:val="00DC546A"/>
    <w:rsid w:val="00DC59A9"/>
    <w:rsid w:val="00DC5BA2"/>
    <w:rsid w:val="00DC5D45"/>
    <w:rsid w:val="00DC60D0"/>
    <w:rsid w:val="00DC64A6"/>
    <w:rsid w:val="00DC655D"/>
    <w:rsid w:val="00DC7BCD"/>
    <w:rsid w:val="00DC7E29"/>
    <w:rsid w:val="00DC7ED9"/>
    <w:rsid w:val="00DD0166"/>
    <w:rsid w:val="00DD030F"/>
    <w:rsid w:val="00DD0344"/>
    <w:rsid w:val="00DD0597"/>
    <w:rsid w:val="00DD0DF6"/>
    <w:rsid w:val="00DD1BC8"/>
    <w:rsid w:val="00DD2480"/>
    <w:rsid w:val="00DD2C60"/>
    <w:rsid w:val="00DD2DA2"/>
    <w:rsid w:val="00DD31D6"/>
    <w:rsid w:val="00DD3466"/>
    <w:rsid w:val="00DD454F"/>
    <w:rsid w:val="00DD48C5"/>
    <w:rsid w:val="00DD4916"/>
    <w:rsid w:val="00DD5EDD"/>
    <w:rsid w:val="00DD63AE"/>
    <w:rsid w:val="00DD6B9C"/>
    <w:rsid w:val="00DD73C9"/>
    <w:rsid w:val="00DD776E"/>
    <w:rsid w:val="00DE0A16"/>
    <w:rsid w:val="00DE0F51"/>
    <w:rsid w:val="00DE18F0"/>
    <w:rsid w:val="00DE1EE6"/>
    <w:rsid w:val="00DE1FE4"/>
    <w:rsid w:val="00DE27BF"/>
    <w:rsid w:val="00DE27C6"/>
    <w:rsid w:val="00DE30E3"/>
    <w:rsid w:val="00DE32BE"/>
    <w:rsid w:val="00DE3315"/>
    <w:rsid w:val="00DE33B8"/>
    <w:rsid w:val="00DE362B"/>
    <w:rsid w:val="00DE37A0"/>
    <w:rsid w:val="00DE3DC6"/>
    <w:rsid w:val="00DE3E04"/>
    <w:rsid w:val="00DE4030"/>
    <w:rsid w:val="00DE49C2"/>
    <w:rsid w:val="00DE4A7B"/>
    <w:rsid w:val="00DE5522"/>
    <w:rsid w:val="00DE56D3"/>
    <w:rsid w:val="00DE582D"/>
    <w:rsid w:val="00DE5B35"/>
    <w:rsid w:val="00DE6267"/>
    <w:rsid w:val="00DE657F"/>
    <w:rsid w:val="00DE67AF"/>
    <w:rsid w:val="00DE688C"/>
    <w:rsid w:val="00DE6F25"/>
    <w:rsid w:val="00DE708C"/>
    <w:rsid w:val="00DE7B0D"/>
    <w:rsid w:val="00DE7BF3"/>
    <w:rsid w:val="00DF08C7"/>
    <w:rsid w:val="00DF0A27"/>
    <w:rsid w:val="00DF1528"/>
    <w:rsid w:val="00DF16FE"/>
    <w:rsid w:val="00DF1D8B"/>
    <w:rsid w:val="00DF25E1"/>
    <w:rsid w:val="00DF2F60"/>
    <w:rsid w:val="00DF3B0B"/>
    <w:rsid w:val="00DF3D57"/>
    <w:rsid w:val="00DF3EF3"/>
    <w:rsid w:val="00DF40B8"/>
    <w:rsid w:val="00DF4652"/>
    <w:rsid w:val="00DF4A24"/>
    <w:rsid w:val="00DF4B3B"/>
    <w:rsid w:val="00DF5488"/>
    <w:rsid w:val="00DF570F"/>
    <w:rsid w:val="00DF573F"/>
    <w:rsid w:val="00DF5936"/>
    <w:rsid w:val="00DF59C8"/>
    <w:rsid w:val="00DF5DA8"/>
    <w:rsid w:val="00DF5E2E"/>
    <w:rsid w:val="00DF6147"/>
    <w:rsid w:val="00DF654E"/>
    <w:rsid w:val="00DF6B66"/>
    <w:rsid w:val="00DF6CE0"/>
    <w:rsid w:val="00DF6F93"/>
    <w:rsid w:val="00DF745E"/>
    <w:rsid w:val="00DF7664"/>
    <w:rsid w:val="00DF779C"/>
    <w:rsid w:val="00DF7819"/>
    <w:rsid w:val="00DF7CAF"/>
    <w:rsid w:val="00E00094"/>
    <w:rsid w:val="00E002AB"/>
    <w:rsid w:val="00E003E1"/>
    <w:rsid w:val="00E010B9"/>
    <w:rsid w:val="00E0125C"/>
    <w:rsid w:val="00E01512"/>
    <w:rsid w:val="00E0186B"/>
    <w:rsid w:val="00E01875"/>
    <w:rsid w:val="00E01EDC"/>
    <w:rsid w:val="00E01EDD"/>
    <w:rsid w:val="00E026D0"/>
    <w:rsid w:val="00E02E1F"/>
    <w:rsid w:val="00E02E72"/>
    <w:rsid w:val="00E032B5"/>
    <w:rsid w:val="00E03321"/>
    <w:rsid w:val="00E036D8"/>
    <w:rsid w:val="00E03AFF"/>
    <w:rsid w:val="00E048B9"/>
    <w:rsid w:val="00E048C2"/>
    <w:rsid w:val="00E04C1F"/>
    <w:rsid w:val="00E06553"/>
    <w:rsid w:val="00E066B2"/>
    <w:rsid w:val="00E069E7"/>
    <w:rsid w:val="00E06F91"/>
    <w:rsid w:val="00E07414"/>
    <w:rsid w:val="00E07DF9"/>
    <w:rsid w:val="00E07F2D"/>
    <w:rsid w:val="00E104A6"/>
    <w:rsid w:val="00E10980"/>
    <w:rsid w:val="00E11523"/>
    <w:rsid w:val="00E121A1"/>
    <w:rsid w:val="00E12311"/>
    <w:rsid w:val="00E13231"/>
    <w:rsid w:val="00E13333"/>
    <w:rsid w:val="00E13407"/>
    <w:rsid w:val="00E145E5"/>
    <w:rsid w:val="00E14E7E"/>
    <w:rsid w:val="00E15F64"/>
    <w:rsid w:val="00E16EB5"/>
    <w:rsid w:val="00E170D7"/>
    <w:rsid w:val="00E17342"/>
    <w:rsid w:val="00E17950"/>
    <w:rsid w:val="00E17B21"/>
    <w:rsid w:val="00E17C0E"/>
    <w:rsid w:val="00E17EC2"/>
    <w:rsid w:val="00E2000E"/>
    <w:rsid w:val="00E20498"/>
    <w:rsid w:val="00E20550"/>
    <w:rsid w:val="00E207DB"/>
    <w:rsid w:val="00E20E88"/>
    <w:rsid w:val="00E20FBE"/>
    <w:rsid w:val="00E217A9"/>
    <w:rsid w:val="00E21A1B"/>
    <w:rsid w:val="00E21D2E"/>
    <w:rsid w:val="00E224EC"/>
    <w:rsid w:val="00E228D4"/>
    <w:rsid w:val="00E22E2B"/>
    <w:rsid w:val="00E233FC"/>
    <w:rsid w:val="00E23AC5"/>
    <w:rsid w:val="00E23AF2"/>
    <w:rsid w:val="00E23BAF"/>
    <w:rsid w:val="00E249DD"/>
    <w:rsid w:val="00E2536C"/>
    <w:rsid w:val="00E255A6"/>
    <w:rsid w:val="00E255CD"/>
    <w:rsid w:val="00E25B65"/>
    <w:rsid w:val="00E27660"/>
    <w:rsid w:val="00E27F85"/>
    <w:rsid w:val="00E304A7"/>
    <w:rsid w:val="00E30941"/>
    <w:rsid w:val="00E30FEC"/>
    <w:rsid w:val="00E314FD"/>
    <w:rsid w:val="00E31900"/>
    <w:rsid w:val="00E31928"/>
    <w:rsid w:val="00E31933"/>
    <w:rsid w:val="00E31C24"/>
    <w:rsid w:val="00E31D66"/>
    <w:rsid w:val="00E320AA"/>
    <w:rsid w:val="00E321CE"/>
    <w:rsid w:val="00E3385A"/>
    <w:rsid w:val="00E338A3"/>
    <w:rsid w:val="00E33BD3"/>
    <w:rsid w:val="00E33CB1"/>
    <w:rsid w:val="00E34493"/>
    <w:rsid w:val="00E34552"/>
    <w:rsid w:val="00E345CC"/>
    <w:rsid w:val="00E34A13"/>
    <w:rsid w:val="00E35369"/>
    <w:rsid w:val="00E35AA9"/>
    <w:rsid w:val="00E35CAD"/>
    <w:rsid w:val="00E363E8"/>
    <w:rsid w:val="00E36BED"/>
    <w:rsid w:val="00E36D9D"/>
    <w:rsid w:val="00E37003"/>
    <w:rsid w:val="00E37A1E"/>
    <w:rsid w:val="00E37ACF"/>
    <w:rsid w:val="00E4062F"/>
    <w:rsid w:val="00E4065F"/>
    <w:rsid w:val="00E40BD3"/>
    <w:rsid w:val="00E40C3C"/>
    <w:rsid w:val="00E40FD9"/>
    <w:rsid w:val="00E4155B"/>
    <w:rsid w:val="00E41F87"/>
    <w:rsid w:val="00E42020"/>
    <w:rsid w:val="00E4211F"/>
    <w:rsid w:val="00E426D2"/>
    <w:rsid w:val="00E429B4"/>
    <w:rsid w:val="00E42A97"/>
    <w:rsid w:val="00E43770"/>
    <w:rsid w:val="00E43D12"/>
    <w:rsid w:val="00E43DB2"/>
    <w:rsid w:val="00E446BB"/>
    <w:rsid w:val="00E449ED"/>
    <w:rsid w:val="00E44F8D"/>
    <w:rsid w:val="00E451F7"/>
    <w:rsid w:val="00E454AF"/>
    <w:rsid w:val="00E458AA"/>
    <w:rsid w:val="00E46011"/>
    <w:rsid w:val="00E46125"/>
    <w:rsid w:val="00E46175"/>
    <w:rsid w:val="00E464D3"/>
    <w:rsid w:val="00E46572"/>
    <w:rsid w:val="00E470A5"/>
    <w:rsid w:val="00E47227"/>
    <w:rsid w:val="00E475E9"/>
    <w:rsid w:val="00E47EE9"/>
    <w:rsid w:val="00E5004C"/>
    <w:rsid w:val="00E5054A"/>
    <w:rsid w:val="00E5066A"/>
    <w:rsid w:val="00E50CB8"/>
    <w:rsid w:val="00E50F31"/>
    <w:rsid w:val="00E517A4"/>
    <w:rsid w:val="00E51BD0"/>
    <w:rsid w:val="00E51C94"/>
    <w:rsid w:val="00E51D25"/>
    <w:rsid w:val="00E51DA3"/>
    <w:rsid w:val="00E520A8"/>
    <w:rsid w:val="00E52192"/>
    <w:rsid w:val="00E525D7"/>
    <w:rsid w:val="00E52E2E"/>
    <w:rsid w:val="00E5324F"/>
    <w:rsid w:val="00E5337C"/>
    <w:rsid w:val="00E537C9"/>
    <w:rsid w:val="00E53D53"/>
    <w:rsid w:val="00E554FE"/>
    <w:rsid w:val="00E567E6"/>
    <w:rsid w:val="00E56BAF"/>
    <w:rsid w:val="00E56E1C"/>
    <w:rsid w:val="00E570E7"/>
    <w:rsid w:val="00E5747E"/>
    <w:rsid w:val="00E57622"/>
    <w:rsid w:val="00E57699"/>
    <w:rsid w:val="00E57879"/>
    <w:rsid w:val="00E57973"/>
    <w:rsid w:val="00E57FF6"/>
    <w:rsid w:val="00E607D1"/>
    <w:rsid w:val="00E6133D"/>
    <w:rsid w:val="00E61C30"/>
    <w:rsid w:val="00E620F0"/>
    <w:rsid w:val="00E633CF"/>
    <w:rsid w:val="00E63419"/>
    <w:rsid w:val="00E63462"/>
    <w:rsid w:val="00E639A2"/>
    <w:rsid w:val="00E63A41"/>
    <w:rsid w:val="00E6410D"/>
    <w:rsid w:val="00E64AC7"/>
    <w:rsid w:val="00E652D5"/>
    <w:rsid w:val="00E6552D"/>
    <w:rsid w:val="00E65582"/>
    <w:rsid w:val="00E65B08"/>
    <w:rsid w:val="00E65FDD"/>
    <w:rsid w:val="00E662AA"/>
    <w:rsid w:val="00E6651A"/>
    <w:rsid w:val="00E66C6D"/>
    <w:rsid w:val="00E67613"/>
    <w:rsid w:val="00E67696"/>
    <w:rsid w:val="00E70867"/>
    <w:rsid w:val="00E70BC2"/>
    <w:rsid w:val="00E70E39"/>
    <w:rsid w:val="00E70E57"/>
    <w:rsid w:val="00E70F21"/>
    <w:rsid w:val="00E710C0"/>
    <w:rsid w:val="00E7235D"/>
    <w:rsid w:val="00E7251E"/>
    <w:rsid w:val="00E729A3"/>
    <w:rsid w:val="00E72C54"/>
    <w:rsid w:val="00E72F4B"/>
    <w:rsid w:val="00E72FD1"/>
    <w:rsid w:val="00E7311F"/>
    <w:rsid w:val="00E7331E"/>
    <w:rsid w:val="00E734B6"/>
    <w:rsid w:val="00E73675"/>
    <w:rsid w:val="00E736A5"/>
    <w:rsid w:val="00E73743"/>
    <w:rsid w:val="00E73823"/>
    <w:rsid w:val="00E73887"/>
    <w:rsid w:val="00E73BD7"/>
    <w:rsid w:val="00E73F62"/>
    <w:rsid w:val="00E74B51"/>
    <w:rsid w:val="00E74EC3"/>
    <w:rsid w:val="00E75294"/>
    <w:rsid w:val="00E75CB7"/>
    <w:rsid w:val="00E75FDB"/>
    <w:rsid w:val="00E7716A"/>
    <w:rsid w:val="00E7731B"/>
    <w:rsid w:val="00E7755D"/>
    <w:rsid w:val="00E7769D"/>
    <w:rsid w:val="00E80227"/>
    <w:rsid w:val="00E8038E"/>
    <w:rsid w:val="00E80496"/>
    <w:rsid w:val="00E82364"/>
    <w:rsid w:val="00E837A8"/>
    <w:rsid w:val="00E83820"/>
    <w:rsid w:val="00E83EBF"/>
    <w:rsid w:val="00E8428D"/>
    <w:rsid w:val="00E842CF"/>
    <w:rsid w:val="00E843EF"/>
    <w:rsid w:val="00E84C30"/>
    <w:rsid w:val="00E850F6"/>
    <w:rsid w:val="00E86193"/>
    <w:rsid w:val="00E862BA"/>
    <w:rsid w:val="00E86805"/>
    <w:rsid w:val="00E86D2E"/>
    <w:rsid w:val="00E86E28"/>
    <w:rsid w:val="00E87239"/>
    <w:rsid w:val="00E8723C"/>
    <w:rsid w:val="00E872EB"/>
    <w:rsid w:val="00E87723"/>
    <w:rsid w:val="00E90297"/>
    <w:rsid w:val="00E909CE"/>
    <w:rsid w:val="00E909FA"/>
    <w:rsid w:val="00E910C8"/>
    <w:rsid w:val="00E91187"/>
    <w:rsid w:val="00E91B2F"/>
    <w:rsid w:val="00E927AD"/>
    <w:rsid w:val="00E92C71"/>
    <w:rsid w:val="00E92C82"/>
    <w:rsid w:val="00E930FA"/>
    <w:rsid w:val="00E932CA"/>
    <w:rsid w:val="00E93311"/>
    <w:rsid w:val="00E936BC"/>
    <w:rsid w:val="00E938E6"/>
    <w:rsid w:val="00E93D51"/>
    <w:rsid w:val="00E947F9"/>
    <w:rsid w:val="00E957D2"/>
    <w:rsid w:val="00E95BB9"/>
    <w:rsid w:val="00E9635A"/>
    <w:rsid w:val="00E964AB"/>
    <w:rsid w:val="00E96DF0"/>
    <w:rsid w:val="00E974A8"/>
    <w:rsid w:val="00E975FF"/>
    <w:rsid w:val="00E977EB"/>
    <w:rsid w:val="00E97D7E"/>
    <w:rsid w:val="00EA065E"/>
    <w:rsid w:val="00EA074F"/>
    <w:rsid w:val="00EA0A3C"/>
    <w:rsid w:val="00EA16CA"/>
    <w:rsid w:val="00EA1715"/>
    <w:rsid w:val="00EA1830"/>
    <w:rsid w:val="00EA2380"/>
    <w:rsid w:val="00EA254B"/>
    <w:rsid w:val="00EA28DD"/>
    <w:rsid w:val="00EA2BFF"/>
    <w:rsid w:val="00EA382A"/>
    <w:rsid w:val="00EA38D4"/>
    <w:rsid w:val="00EA3907"/>
    <w:rsid w:val="00EA3BC5"/>
    <w:rsid w:val="00EA40BC"/>
    <w:rsid w:val="00EA4997"/>
    <w:rsid w:val="00EA49D7"/>
    <w:rsid w:val="00EA516E"/>
    <w:rsid w:val="00EA57AE"/>
    <w:rsid w:val="00EA5C2E"/>
    <w:rsid w:val="00EA5E5B"/>
    <w:rsid w:val="00EA6018"/>
    <w:rsid w:val="00EA6AF8"/>
    <w:rsid w:val="00EA6F7A"/>
    <w:rsid w:val="00EA7294"/>
    <w:rsid w:val="00EA77F9"/>
    <w:rsid w:val="00EA7858"/>
    <w:rsid w:val="00EB0CD9"/>
    <w:rsid w:val="00EB2096"/>
    <w:rsid w:val="00EB232B"/>
    <w:rsid w:val="00EB2403"/>
    <w:rsid w:val="00EB242B"/>
    <w:rsid w:val="00EB2CAA"/>
    <w:rsid w:val="00EB3029"/>
    <w:rsid w:val="00EB37B1"/>
    <w:rsid w:val="00EB3A8D"/>
    <w:rsid w:val="00EB408D"/>
    <w:rsid w:val="00EB41F4"/>
    <w:rsid w:val="00EB43AD"/>
    <w:rsid w:val="00EB4411"/>
    <w:rsid w:val="00EB461D"/>
    <w:rsid w:val="00EB46D3"/>
    <w:rsid w:val="00EB4F7F"/>
    <w:rsid w:val="00EB587D"/>
    <w:rsid w:val="00EB666A"/>
    <w:rsid w:val="00EB6F53"/>
    <w:rsid w:val="00EB6FEE"/>
    <w:rsid w:val="00EB7027"/>
    <w:rsid w:val="00EB79FA"/>
    <w:rsid w:val="00EB7E15"/>
    <w:rsid w:val="00EC05EE"/>
    <w:rsid w:val="00EC0750"/>
    <w:rsid w:val="00EC0A64"/>
    <w:rsid w:val="00EC0D04"/>
    <w:rsid w:val="00EC0F33"/>
    <w:rsid w:val="00EC140E"/>
    <w:rsid w:val="00EC1679"/>
    <w:rsid w:val="00EC1B45"/>
    <w:rsid w:val="00EC1E39"/>
    <w:rsid w:val="00EC2765"/>
    <w:rsid w:val="00EC3584"/>
    <w:rsid w:val="00EC37BC"/>
    <w:rsid w:val="00EC42C1"/>
    <w:rsid w:val="00EC4356"/>
    <w:rsid w:val="00EC52BC"/>
    <w:rsid w:val="00EC5E3D"/>
    <w:rsid w:val="00EC6053"/>
    <w:rsid w:val="00EC6510"/>
    <w:rsid w:val="00EC6A61"/>
    <w:rsid w:val="00ED06B0"/>
    <w:rsid w:val="00ED0701"/>
    <w:rsid w:val="00ED137C"/>
    <w:rsid w:val="00ED19BA"/>
    <w:rsid w:val="00ED1AED"/>
    <w:rsid w:val="00ED1F3E"/>
    <w:rsid w:val="00ED2243"/>
    <w:rsid w:val="00ED239B"/>
    <w:rsid w:val="00ED2449"/>
    <w:rsid w:val="00ED2E31"/>
    <w:rsid w:val="00ED39C1"/>
    <w:rsid w:val="00ED3DA2"/>
    <w:rsid w:val="00ED3E91"/>
    <w:rsid w:val="00ED46A1"/>
    <w:rsid w:val="00ED46D3"/>
    <w:rsid w:val="00ED4A93"/>
    <w:rsid w:val="00ED5774"/>
    <w:rsid w:val="00ED6A12"/>
    <w:rsid w:val="00ED6C0B"/>
    <w:rsid w:val="00ED719F"/>
    <w:rsid w:val="00ED7449"/>
    <w:rsid w:val="00ED74AA"/>
    <w:rsid w:val="00ED7655"/>
    <w:rsid w:val="00ED7CC6"/>
    <w:rsid w:val="00ED7FE1"/>
    <w:rsid w:val="00EE0138"/>
    <w:rsid w:val="00EE0519"/>
    <w:rsid w:val="00EE05AF"/>
    <w:rsid w:val="00EE16C4"/>
    <w:rsid w:val="00EE1942"/>
    <w:rsid w:val="00EE1F9B"/>
    <w:rsid w:val="00EE2232"/>
    <w:rsid w:val="00EE24CD"/>
    <w:rsid w:val="00EE2B0F"/>
    <w:rsid w:val="00EE2B62"/>
    <w:rsid w:val="00EE2FA6"/>
    <w:rsid w:val="00EE3593"/>
    <w:rsid w:val="00EE35EF"/>
    <w:rsid w:val="00EE428D"/>
    <w:rsid w:val="00EE451C"/>
    <w:rsid w:val="00EE4904"/>
    <w:rsid w:val="00EE4D64"/>
    <w:rsid w:val="00EE4FD9"/>
    <w:rsid w:val="00EE521C"/>
    <w:rsid w:val="00EE5315"/>
    <w:rsid w:val="00EE5614"/>
    <w:rsid w:val="00EE5697"/>
    <w:rsid w:val="00EE5980"/>
    <w:rsid w:val="00EE5A23"/>
    <w:rsid w:val="00EE5B6E"/>
    <w:rsid w:val="00EE5BED"/>
    <w:rsid w:val="00EE60CA"/>
    <w:rsid w:val="00EE61C2"/>
    <w:rsid w:val="00EE61E2"/>
    <w:rsid w:val="00EE629B"/>
    <w:rsid w:val="00EE773B"/>
    <w:rsid w:val="00EF0AD4"/>
    <w:rsid w:val="00EF0BA6"/>
    <w:rsid w:val="00EF1319"/>
    <w:rsid w:val="00EF14C0"/>
    <w:rsid w:val="00EF182F"/>
    <w:rsid w:val="00EF2369"/>
    <w:rsid w:val="00EF3162"/>
    <w:rsid w:val="00EF3F75"/>
    <w:rsid w:val="00EF3F8D"/>
    <w:rsid w:val="00EF4566"/>
    <w:rsid w:val="00EF4596"/>
    <w:rsid w:val="00EF460D"/>
    <w:rsid w:val="00EF4A70"/>
    <w:rsid w:val="00EF4E11"/>
    <w:rsid w:val="00EF4EC8"/>
    <w:rsid w:val="00EF4F3D"/>
    <w:rsid w:val="00EF5B53"/>
    <w:rsid w:val="00EF639F"/>
    <w:rsid w:val="00EF675E"/>
    <w:rsid w:val="00EF7549"/>
    <w:rsid w:val="00EF7831"/>
    <w:rsid w:val="00EF78C6"/>
    <w:rsid w:val="00EF7BF3"/>
    <w:rsid w:val="00F00355"/>
    <w:rsid w:val="00F0075F"/>
    <w:rsid w:val="00F00B90"/>
    <w:rsid w:val="00F0131A"/>
    <w:rsid w:val="00F01C26"/>
    <w:rsid w:val="00F01E71"/>
    <w:rsid w:val="00F01FEB"/>
    <w:rsid w:val="00F020CC"/>
    <w:rsid w:val="00F02909"/>
    <w:rsid w:val="00F02F63"/>
    <w:rsid w:val="00F034F0"/>
    <w:rsid w:val="00F041B0"/>
    <w:rsid w:val="00F04447"/>
    <w:rsid w:val="00F05007"/>
    <w:rsid w:val="00F050F9"/>
    <w:rsid w:val="00F05926"/>
    <w:rsid w:val="00F06986"/>
    <w:rsid w:val="00F069EC"/>
    <w:rsid w:val="00F06A19"/>
    <w:rsid w:val="00F06B3F"/>
    <w:rsid w:val="00F06C9A"/>
    <w:rsid w:val="00F07131"/>
    <w:rsid w:val="00F100F4"/>
    <w:rsid w:val="00F101AF"/>
    <w:rsid w:val="00F10691"/>
    <w:rsid w:val="00F11191"/>
    <w:rsid w:val="00F111B5"/>
    <w:rsid w:val="00F1132D"/>
    <w:rsid w:val="00F115C0"/>
    <w:rsid w:val="00F118D6"/>
    <w:rsid w:val="00F11FAE"/>
    <w:rsid w:val="00F12019"/>
    <w:rsid w:val="00F13092"/>
    <w:rsid w:val="00F133C8"/>
    <w:rsid w:val="00F1347E"/>
    <w:rsid w:val="00F137BB"/>
    <w:rsid w:val="00F139A2"/>
    <w:rsid w:val="00F13C5A"/>
    <w:rsid w:val="00F13DFD"/>
    <w:rsid w:val="00F14221"/>
    <w:rsid w:val="00F14643"/>
    <w:rsid w:val="00F14800"/>
    <w:rsid w:val="00F14FD4"/>
    <w:rsid w:val="00F15082"/>
    <w:rsid w:val="00F15354"/>
    <w:rsid w:val="00F16027"/>
    <w:rsid w:val="00F1651D"/>
    <w:rsid w:val="00F16A7D"/>
    <w:rsid w:val="00F16F99"/>
    <w:rsid w:val="00F16FDE"/>
    <w:rsid w:val="00F17B19"/>
    <w:rsid w:val="00F2112D"/>
    <w:rsid w:val="00F21DEE"/>
    <w:rsid w:val="00F21F8A"/>
    <w:rsid w:val="00F22493"/>
    <w:rsid w:val="00F22625"/>
    <w:rsid w:val="00F227C6"/>
    <w:rsid w:val="00F2297E"/>
    <w:rsid w:val="00F22BB8"/>
    <w:rsid w:val="00F22D95"/>
    <w:rsid w:val="00F2361D"/>
    <w:rsid w:val="00F23669"/>
    <w:rsid w:val="00F23911"/>
    <w:rsid w:val="00F241D2"/>
    <w:rsid w:val="00F24C39"/>
    <w:rsid w:val="00F24C89"/>
    <w:rsid w:val="00F25444"/>
    <w:rsid w:val="00F254B8"/>
    <w:rsid w:val="00F2558D"/>
    <w:rsid w:val="00F25BE7"/>
    <w:rsid w:val="00F25D7E"/>
    <w:rsid w:val="00F25E48"/>
    <w:rsid w:val="00F25E83"/>
    <w:rsid w:val="00F2608B"/>
    <w:rsid w:val="00F2615B"/>
    <w:rsid w:val="00F261F3"/>
    <w:rsid w:val="00F274E5"/>
    <w:rsid w:val="00F279A6"/>
    <w:rsid w:val="00F27F82"/>
    <w:rsid w:val="00F301BB"/>
    <w:rsid w:val="00F302C4"/>
    <w:rsid w:val="00F30631"/>
    <w:rsid w:val="00F308B3"/>
    <w:rsid w:val="00F30AFB"/>
    <w:rsid w:val="00F30D9D"/>
    <w:rsid w:val="00F3129A"/>
    <w:rsid w:val="00F319F6"/>
    <w:rsid w:val="00F31B4C"/>
    <w:rsid w:val="00F32501"/>
    <w:rsid w:val="00F32522"/>
    <w:rsid w:val="00F326FF"/>
    <w:rsid w:val="00F32CF8"/>
    <w:rsid w:val="00F3327C"/>
    <w:rsid w:val="00F33477"/>
    <w:rsid w:val="00F33A1B"/>
    <w:rsid w:val="00F33E2D"/>
    <w:rsid w:val="00F3436A"/>
    <w:rsid w:val="00F345DB"/>
    <w:rsid w:val="00F346ED"/>
    <w:rsid w:val="00F3488C"/>
    <w:rsid w:val="00F348C5"/>
    <w:rsid w:val="00F34B8E"/>
    <w:rsid w:val="00F351D5"/>
    <w:rsid w:val="00F35AEE"/>
    <w:rsid w:val="00F35C6C"/>
    <w:rsid w:val="00F35FFD"/>
    <w:rsid w:val="00F36BF9"/>
    <w:rsid w:val="00F37253"/>
    <w:rsid w:val="00F37A64"/>
    <w:rsid w:val="00F37E96"/>
    <w:rsid w:val="00F40133"/>
    <w:rsid w:val="00F404FF"/>
    <w:rsid w:val="00F4054C"/>
    <w:rsid w:val="00F40F7B"/>
    <w:rsid w:val="00F40FB0"/>
    <w:rsid w:val="00F4170F"/>
    <w:rsid w:val="00F41BD4"/>
    <w:rsid w:val="00F4205C"/>
    <w:rsid w:val="00F4212F"/>
    <w:rsid w:val="00F42C84"/>
    <w:rsid w:val="00F42DDB"/>
    <w:rsid w:val="00F4329E"/>
    <w:rsid w:val="00F4397B"/>
    <w:rsid w:val="00F44062"/>
    <w:rsid w:val="00F44D2C"/>
    <w:rsid w:val="00F44EE5"/>
    <w:rsid w:val="00F460FE"/>
    <w:rsid w:val="00F46510"/>
    <w:rsid w:val="00F46A57"/>
    <w:rsid w:val="00F46E06"/>
    <w:rsid w:val="00F46E80"/>
    <w:rsid w:val="00F4725C"/>
    <w:rsid w:val="00F47A0D"/>
    <w:rsid w:val="00F47B00"/>
    <w:rsid w:val="00F5009E"/>
    <w:rsid w:val="00F500F3"/>
    <w:rsid w:val="00F501A3"/>
    <w:rsid w:val="00F50358"/>
    <w:rsid w:val="00F504E0"/>
    <w:rsid w:val="00F50AF2"/>
    <w:rsid w:val="00F5101D"/>
    <w:rsid w:val="00F514EC"/>
    <w:rsid w:val="00F5204C"/>
    <w:rsid w:val="00F522C5"/>
    <w:rsid w:val="00F52317"/>
    <w:rsid w:val="00F5250D"/>
    <w:rsid w:val="00F52D15"/>
    <w:rsid w:val="00F53092"/>
    <w:rsid w:val="00F53187"/>
    <w:rsid w:val="00F53344"/>
    <w:rsid w:val="00F54541"/>
    <w:rsid w:val="00F54577"/>
    <w:rsid w:val="00F547E7"/>
    <w:rsid w:val="00F5496B"/>
    <w:rsid w:val="00F54ECA"/>
    <w:rsid w:val="00F55B84"/>
    <w:rsid w:val="00F55E28"/>
    <w:rsid w:val="00F5694F"/>
    <w:rsid w:val="00F56D3E"/>
    <w:rsid w:val="00F570FB"/>
    <w:rsid w:val="00F57B9B"/>
    <w:rsid w:val="00F57FC9"/>
    <w:rsid w:val="00F60004"/>
    <w:rsid w:val="00F60C41"/>
    <w:rsid w:val="00F61057"/>
    <w:rsid w:val="00F619E0"/>
    <w:rsid w:val="00F61A74"/>
    <w:rsid w:val="00F62889"/>
    <w:rsid w:val="00F62C0A"/>
    <w:rsid w:val="00F62EBA"/>
    <w:rsid w:val="00F63066"/>
    <w:rsid w:val="00F63429"/>
    <w:rsid w:val="00F63701"/>
    <w:rsid w:val="00F638F7"/>
    <w:rsid w:val="00F657B9"/>
    <w:rsid w:val="00F65B39"/>
    <w:rsid w:val="00F65F0B"/>
    <w:rsid w:val="00F66448"/>
    <w:rsid w:val="00F66C6A"/>
    <w:rsid w:val="00F670BF"/>
    <w:rsid w:val="00F67865"/>
    <w:rsid w:val="00F67F74"/>
    <w:rsid w:val="00F703AF"/>
    <w:rsid w:val="00F70545"/>
    <w:rsid w:val="00F7068A"/>
    <w:rsid w:val="00F7070D"/>
    <w:rsid w:val="00F70777"/>
    <w:rsid w:val="00F70EDF"/>
    <w:rsid w:val="00F71C19"/>
    <w:rsid w:val="00F72346"/>
    <w:rsid w:val="00F72399"/>
    <w:rsid w:val="00F72EA7"/>
    <w:rsid w:val="00F736C2"/>
    <w:rsid w:val="00F7399F"/>
    <w:rsid w:val="00F7411D"/>
    <w:rsid w:val="00F74337"/>
    <w:rsid w:val="00F7452B"/>
    <w:rsid w:val="00F74B0D"/>
    <w:rsid w:val="00F74E47"/>
    <w:rsid w:val="00F756AB"/>
    <w:rsid w:val="00F757F8"/>
    <w:rsid w:val="00F75AC5"/>
    <w:rsid w:val="00F75D4C"/>
    <w:rsid w:val="00F75EBA"/>
    <w:rsid w:val="00F76169"/>
    <w:rsid w:val="00F76354"/>
    <w:rsid w:val="00F7639A"/>
    <w:rsid w:val="00F76569"/>
    <w:rsid w:val="00F76627"/>
    <w:rsid w:val="00F76909"/>
    <w:rsid w:val="00F76C42"/>
    <w:rsid w:val="00F76F85"/>
    <w:rsid w:val="00F77337"/>
    <w:rsid w:val="00F77E30"/>
    <w:rsid w:val="00F80111"/>
    <w:rsid w:val="00F80E00"/>
    <w:rsid w:val="00F8131A"/>
    <w:rsid w:val="00F81D03"/>
    <w:rsid w:val="00F821A9"/>
    <w:rsid w:val="00F82214"/>
    <w:rsid w:val="00F8273A"/>
    <w:rsid w:val="00F82936"/>
    <w:rsid w:val="00F829F2"/>
    <w:rsid w:val="00F82D27"/>
    <w:rsid w:val="00F83B2D"/>
    <w:rsid w:val="00F83C07"/>
    <w:rsid w:val="00F83C50"/>
    <w:rsid w:val="00F83E56"/>
    <w:rsid w:val="00F844B8"/>
    <w:rsid w:val="00F84777"/>
    <w:rsid w:val="00F84D1F"/>
    <w:rsid w:val="00F85305"/>
    <w:rsid w:val="00F85BC6"/>
    <w:rsid w:val="00F8604D"/>
    <w:rsid w:val="00F860EA"/>
    <w:rsid w:val="00F86169"/>
    <w:rsid w:val="00F861D1"/>
    <w:rsid w:val="00F86213"/>
    <w:rsid w:val="00F86384"/>
    <w:rsid w:val="00F87391"/>
    <w:rsid w:val="00F879C0"/>
    <w:rsid w:val="00F879DB"/>
    <w:rsid w:val="00F87F3E"/>
    <w:rsid w:val="00F905DA"/>
    <w:rsid w:val="00F90C15"/>
    <w:rsid w:val="00F90F36"/>
    <w:rsid w:val="00F910E5"/>
    <w:rsid w:val="00F91136"/>
    <w:rsid w:val="00F916D7"/>
    <w:rsid w:val="00F91A79"/>
    <w:rsid w:val="00F91BF7"/>
    <w:rsid w:val="00F92F9F"/>
    <w:rsid w:val="00F933A3"/>
    <w:rsid w:val="00F934C0"/>
    <w:rsid w:val="00F93AAC"/>
    <w:rsid w:val="00F93AB8"/>
    <w:rsid w:val="00F9405E"/>
    <w:rsid w:val="00F9466A"/>
    <w:rsid w:val="00F963BD"/>
    <w:rsid w:val="00F97A19"/>
    <w:rsid w:val="00F97B45"/>
    <w:rsid w:val="00F97BBE"/>
    <w:rsid w:val="00FA0244"/>
    <w:rsid w:val="00FA09FD"/>
    <w:rsid w:val="00FA1C22"/>
    <w:rsid w:val="00FA1E15"/>
    <w:rsid w:val="00FA322D"/>
    <w:rsid w:val="00FA328B"/>
    <w:rsid w:val="00FA34BD"/>
    <w:rsid w:val="00FA350E"/>
    <w:rsid w:val="00FA36B4"/>
    <w:rsid w:val="00FA4955"/>
    <w:rsid w:val="00FA5563"/>
    <w:rsid w:val="00FA62A6"/>
    <w:rsid w:val="00FA6543"/>
    <w:rsid w:val="00FA6749"/>
    <w:rsid w:val="00FA77E6"/>
    <w:rsid w:val="00FB010C"/>
    <w:rsid w:val="00FB072D"/>
    <w:rsid w:val="00FB07C6"/>
    <w:rsid w:val="00FB0A43"/>
    <w:rsid w:val="00FB0DA2"/>
    <w:rsid w:val="00FB1AED"/>
    <w:rsid w:val="00FB1D96"/>
    <w:rsid w:val="00FB1DC2"/>
    <w:rsid w:val="00FB25A1"/>
    <w:rsid w:val="00FB286E"/>
    <w:rsid w:val="00FB336A"/>
    <w:rsid w:val="00FB3C91"/>
    <w:rsid w:val="00FB4322"/>
    <w:rsid w:val="00FB45A2"/>
    <w:rsid w:val="00FB4D3B"/>
    <w:rsid w:val="00FB516A"/>
    <w:rsid w:val="00FB53C7"/>
    <w:rsid w:val="00FB568B"/>
    <w:rsid w:val="00FB673E"/>
    <w:rsid w:val="00FB6FB5"/>
    <w:rsid w:val="00FB717B"/>
    <w:rsid w:val="00FB7FF6"/>
    <w:rsid w:val="00FC0175"/>
    <w:rsid w:val="00FC02A8"/>
    <w:rsid w:val="00FC191F"/>
    <w:rsid w:val="00FC25BB"/>
    <w:rsid w:val="00FC2D53"/>
    <w:rsid w:val="00FC2FB1"/>
    <w:rsid w:val="00FC353B"/>
    <w:rsid w:val="00FC37EE"/>
    <w:rsid w:val="00FC3F0B"/>
    <w:rsid w:val="00FC4047"/>
    <w:rsid w:val="00FC40D7"/>
    <w:rsid w:val="00FC4831"/>
    <w:rsid w:val="00FC4905"/>
    <w:rsid w:val="00FC49EB"/>
    <w:rsid w:val="00FC4CFB"/>
    <w:rsid w:val="00FC4F5A"/>
    <w:rsid w:val="00FC4F97"/>
    <w:rsid w:val="00FC68A3"/>
    <w:rsid w:val="00FC6B54"/>
    <w:rsid w:val="00FC7132"/>
    <w:rsid w:val="00FC71E6"/>
    <w:rsid w:val="00FC764C"/>
    <w:rsid w:val="00FC78FA"/>
    <w:rsid w:val="00FC7B64"/>
    <w:rsid w:val="00FC7C22"/>
    <w:rsid w:val="00FD0201"/>
    <w:rsid w:val="00FD061B"/>
    <w:rsid w:val="00FD0B36"/>
    <w:rsid w:val="00FD0F66"/>
    <w:rsid w:val="00FD0F7C"/>
    <w:rsid w:val="00FD11DA"/>
    <w:rsid w:val="00FD157C"/>
    <w:rsid w:val="00FD27AF"/>
    <w:rsid w:val="00FD28F2"/>
    <w:rsid w:val="00FD3028"/>
    <w:rsid w:val="00FD421F"/>
    <w:rsid w:val="00FD50A2"/>
    <w:rsid w:val="00FD515A"/>
    <w:rsid w:val="00FD5292"/>
    <w:rsid w:val="00FD5572"/>
    <w:rsid w:val="00FD5965"/>
    <w:rsid w:val="00FD5A72"/>
    <w:rsid w:val="00FD5C32"/>
    <w:rsid w:val="00FD5D19"/>
    <w:rsid w:val="00FD6444"/>
    <w:rsid w:val="00FD6D4A"/>
    <w:rsid w:val="00FD6FAC"/>
    <w:rsid w:val="00FD726A"/>
    <w:rsid w:val="00FD7500"/>
    <w:rsid w:val="00FD7884"/>
    <w:rsid w:val="00FD7DCB"/>
    <w:rsid w:val="00FE00CF"/>
    <w:rsid w:val="00FE0729"/>
    <w:rsid w:val="00FE08B4"/>
    <w:rsid w:val="00FE0E40"/>
    <w:rsid w:val="00FE104D"/>
    <w:rsid w:val="00FE1228"/>
    <w:rsid w:val="00FE13FC"/>
    <w:rsid w:val="00FE1737"/>
    <w:rsid w:val="00FE1779"/>
    <w:rsid w:val="00FE25BE"/>
    <w:rsid w:val="00FE2900"/>
    <w:rsid w:val="00FE2E96"/>
    <w:rsid w:val="00FE3358"/>
    <w:rsid w:val="00FE43A3"/>
    <w:rsid w:val="00FE4F9A"/>
    <w:rsid w:val="00FE5977"/>
    <w:rsid w:val="00FE60FE"/>
    <w:rsid w:val="00FE63BB"/>
    <w:rsid w:val="00FE6BA3"/>
    <w:rsid w:val="00FE76EB"/>
    <w:rsid w:val="00FF0134"/>
    <w:rsid w:val="00FF0310"/>
    <w:rsid w:val="00FF16B5"/>
    <w:rsid w:val="00FF1C14"/>
    <w:rsid w:val="00FF21C2"/>
    <w:rsid w:val="00FF23AE"/>
    <w:rsid w:val="00FF473C"/>
    <w:rsid w:val="00FF479F"/>
    <w:rsid w:val="00FF5279"/>
    <w:rsid w:val="00FF5532"/>
    <w:rsid w:val="00FF568C"/>
    <w:rsid w:val="00FF592C"/>
    <w:rsid w:val="00FF61AF"/>
    <w:rsid w:val="00FF6704"/>
    <w:rsid w:val="00FF688F"/>
    <w:rsid w:val="00FF6977"/>
    <w:rsid w:val="00FF71C7"/>
    <w:rsid w:val="00FF72A0"/>
    <w:rsid w:val="00FF7305"/>
    <w:rsid w:val="00FF75B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D4916"/>
    <w:rPr>
      <w:sz w:val="24"/>
      <w:szCs w:val="24"/>
    </w:rPr>
  </w:style>
  <w:style w:type="paragraph" w:styleId="Titolo1">
    <w:name w:val="heading 1"/>
    <w:basedOn w:val="Normale"/>
    <w:next w:val="Normale"/>
    <w:link w:val="Titolo1Carattere"/>
    <w:qFormat/>
    <w:rsid w:val="008D7A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D4916"/>
    <w:pPr>
      <w:tabs>
        <w:tab w:val="center" w:pos="4819"/>
        <w:tab w:val="right" w:pos="9638"/>
      </w:tabs>
    </w:pPr>
  </w:style>
  <w:style w:type="character" w:styleId="Enfasigrassetto">
    <w:name w:val="Strong"/>
    <w:uiPriority w:val="22"/>
    <w:qFormat/>
    <w:rsid w:val="00DD4916"/>
    <w:rPr>
      <w:b/>
      <w:bCs/>
    </w:rPr>
  </w:style>
  <w:style w:type="paragraph" w:styleId="NormaleWeb">
    <w:name w:val="Normal (Web)"/>
    <w:basedOn w:val="Normale"/>
    <w:uiPriority w:val="99"/>
    <w:rsid w:val="00DD4916"/>
    <w:pPr>
      <w:spacing w:before="100" w:beforeAutospacing="1" w:after="100" w:afterAutospacing="1"/>
      <w:jc w:val="both"/>
    </w:pPr>
    <w:rPr>
      <w:rFonts w:ascii="Verdana" w:hAnsi="Verdana"/>
      <w:sz w:val="17"/>
      <w:szCs w:val="17"/>
    </w:rPr>
  </w:style>
  <w:style w:type="character" w:styleId="Numeropagina">
    <w:name w:val="page number"/>
    <w:basedOn w:val="Carpredefinitoparagrafo"/>
    <w:rsid w:val="00DD4916"/>
  </w:style>
  <w:style w:type="paragraph" w:customStyle="1" w:styleId="Normale1">
    <w:name w:val="Normale1"/>
    <w:link w:val="Normale1Carattere"/>
    <w:rsid w:val="00DD4916"/>
    <w:pPr>
      <w:spacing w:after="120"/>
      <w:ind w:firstLine="1134"/>
      <w:jc w:val="both"/>
    </w:pPr>
    <w:rPr>
      <w:sz w:val="24"/>
    </w:rPr>
  </w:style>
  <w:style w:type="character" w:styleId="Collegamentoipertestuale">
    <w:name w:val="Hyperlink"/>
    <w:rsid w:val="00DD4916"/>
    <w:rPr>
      <w:color w:val="0000FF"/>
      <w:u w:val="single"/>
    </w:rPr>
  </w:style>
  <w:style w:type="paragraph" w:styleId="Testonotaapidipagina">
    <w:name w:val="footnote text"/>
    <w:basedOn w:val="Normale"/>
    <w:link w:val="TestonotaapidipaginaCarattere"/>
    <w:uiPriority w:val="99"/>
    <w:semiHidden/>
    <w:rsid w:val="00DD4916"/>
    <w:rPr>
      <w:sz w:val="20"/>
      <w:szCs w:val="20"/>
    </w:rPr>
  </w:style>
  <w:style w:type="character" w:styleId="Rimandonotaapidipagina">
    <w:name w:val="footnote reference"/>
    <w:uiPriority w:val="99"/>
    <w:semiHidden/>
    <w:rsid w:val="00DD4916"/>
    <w:rPr>
      <w:vertAlign w:val="superscript"/>
    </w:rPr>
  </w:style>
  <w:style w:type="paragraph" w:customStyle="1" w:styleId="Testodellascheda">
    <w:name w:val="Testo della scheda"/>
    <w:basedOn w:val="Normale"/>
    <w:autoRedefine/>
    <w:rsid w:val="00DD4916"/>
    <w:pPr>
      <w:spacing w:after="120"/>
      <w:ind w:firstLine="357"/>
      <w:jc w:val="both"/>
    </w:pPr>
    <w:rPr>
      <w:rFonts w:ascii="Georgia" w:hAnsi="Georgia"/>
      <w:szCs w:val="20"/>
    </w:rPr>
  </w:style>
  <w:style w:type="character" w:styleId="Enfasicorsivo">
    <w:name w:val="Emphasis"/>
    <w:qFormat/>
    <w:rsid w:val="00647767"/>
    <w:rPr>
      <w:i/>
      <w:iCs/>
    </w:rPr>
  </w:style>
  <w:style w:type="character" w:styleId="Collegamentovisitato">
    <w:name w:val="FollowedHyperlink"/>
    <w:rsid w:val="00D2005D"/>
    <w:rPr>
      <w:color w:val="800080"/>
      <w:u w:val="single"/>
    </w:rPr>
  </w:style>
  <w:style w:type="paragraph" w:styleId="Paragrafoelenco">
    <w:name w:val="List Paragraph"/>
    <w:basedOn w:val="Normale"/>
    <w:uiPriority w:val="34"/>
    <w:qFormat/>
    <w:rsid w:val="000A0660"/>
    <w:pPr>
      <w:ind w:left="720"/>
      <w:contextualSpacing/>
    </w:pPr>
  </w:style>
  <w:style w:type="character" w:customStyle="1" w:styleId="Normale1Carattere">
    <w:name w:val="Normale1 Carattere"/>
    <w:link w:val="Normale1"/>
    <w:rsid w:val="00B373C9"/>
    <w:rPr>
      <w:sz w:val="24"/>
    </w:rPr>
  </w:style>
  <w:style w:type="paragraph" w:styleId="Testofumetto">
    <w:name w:val="Balloon Text"/>
    <w:basedOn w:val="Normale"/>
    <w:link w:val="TestofumettoCarattere"/>
    <w:rsid w:val="00BD7208"/>
    <w:rPr>
      <w:rFonts w:ascii="Tahoma" w:hAnsi="Tahoma" w:cs="Tahoma"/>
      <w:sz w:val="16"/>
      <w:szCs w:val="16"/>
    </w:rPr>
  </w:style>
  <w:style w:type="character" w:customStyle="1" w:styleId="TestofumettoCarattere">
    <w:name w:val="Testo fumetto Carattere"/>
    <w:basedOn w:val="Carpredefinitoparagrafo"/>
    <w:link w:val="Testofumetto"/>
    <w:rsid w:val="00BD7208"/>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rsid w:val="000874B3"/>
  </w:style>
  <w:style w:type="paragraph" w:customStyle="1" w:styleId="Default">
    <w:name w:val="Default"/>
    <w:rsid w:val="00E64AC7"/>
    <w:pPr>
      <w:autoSpaceDE w:val="0"/>
      <w:autoSpaceDN w:val="0"/>
      <w:adjustRightInd w:val="0"/>
    </w:pPr>
    <w:rPr>
      <w:rFonts w:ascii="Calibri" w:eastAsiaTheme="minorHAnsi" w:hAnsi="Calibri" w:cs="Calibri"/>
      <w:color w:val="000000"/>
      <w:sz w:val="24"/>
      <w:szCs w:val="24"/>
      <w:lang w:eastAsia="en-US"/>
    </w:rPr>
  </w:style>
  <w:style w:type="character" w:customStyle="1" w:styleId="Titolo1Carattere">
    <w:name w:val="Titolo 1 Carattere"/>
    <w:basedOn w:val="Carpredefinitoparagrafo"/>
    <w:link w:val="Titolo1"/>
    <w:rsid w:val="008D7AD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D4916"/>
    <w:rPr>
      <w:sz w:val="24"/>
      <w:szCs w:val="24"/>
    </w:rPr>
  </w:style>
  <w:style w:type="paragraph" w:styleId="Titolo1">
    <w:name w:val="heading 1"/>
    <w:basedOn w:val="Normale"/>
    <w:next w:val="Normale"/>
    <w:link w:val="Titolo1Carattere"/>
    <w:qFormat/>
    <w:rsid w:val="008D7A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D4916"/>
    <w:pPr>
      <w:tabs>
        <w:tab w:val="center" w:pos="4819"/>
        <w:tab w:val="right" w:pos="9638"/>
      </w:tabs>
    </w:pPr>
  </w:style>
  <w:style w:type="character" w:styleId="Enfasigrassetto">
    <w:name w:val="Strong"/>
    <w:uiPriority w:val="22"/>
    <w:qFormat/>
    <w:rsid w:val="00DD4916"/>
    <w:rPr>
      <w:b/>
      <w:bCs/>
    </w:rPr>
  </w:style>
  <w:style w:type="paragraph" w:styleId="NormaleWeb">
    <w:name w:val="Normal (Web)"/>
    <w:basedOn w:val="Normale"/>
    <w:uiPriority w:val="99"/>
    <w:rsid w:val="00DD4916"/>
    <w:pPr>
      <w:spacing w:before="100" w:beforeAutospacing="1" w:after="100" w:afterAutospacing="1"/>
      <w:jc w:val="both"/>
    </w:pPr>
    <w:rPr>
      <w:rFonts w:ascii="Verdana" w:hAnsi="Verdana"/>
      <w:sz w:val="17"/>
      <w:szCs w:val="17"/>
    </w:rPr>
  </w:style>
  <w:style w:type="character" w:styleId="Numeropagina">
    <w:name w:val="page number"/>
    <w:basedOn w:val="Carpredefinitoparagrafo"/>
    <w:rsid w:val="00DD4916"/>
  </w:style>
  <w:style w:type="paragraph" w:customStyle="1" w:styleId="Normale1">
    <w:name w:val="Normale1"/>
    <w:link w:val="Normale1Carattere"/>
    <w:rsid w:val="00DD4916"/>
    <w:pPr>
      <w:spacing w:after="120"/>
      <w:ind w:firstLine="1134"/>
      <w:jc w:val="both"/>
    </w:pPr>
    <w:rPr>
      <w:sz w:val="24"/>
    </w:rPr>
  </w:style>
  <w:style w:type="character" w:styleId="Collegamentoipertestuale">
    <w:name w:val="Hyperlink"/>
    <w:rsid w:val="00DD4916"/>
    <w:rPr>
      <w:color w:val="0000FF"/>
      <w:u w:val="single"/>
    </w:rPr>
  </w:style>
  <w:style w:type="paragraph" w:styleId="Testonotaapidipagina">
    <w:name w:val="footnote text"/>
    <w:basedOn w:val="Normale"/>
    <w:link w:val="TestonotaapidipaginaCarattere"/>
    <w:uiPriority w:val="99"/>
    <w:semiHidden/>
    <w:rsid w:val="00DD4916"/>
    <w:rPr>
      <w:sz w:val="20"/>
      <w:szCs w:val="20"/>
    </w:rPr>
  </w:style>
  <w:style w:type="character" w:styleId="Rimandonotaapidipagina">
    <w:name w:val="footnote reference"/>
    <w:uiPriority w:val="99"/>
    <w:semiHidden/>
    <w:rsid w:val="00DD4916"/>
    <w:rPr>
      <w:vertAlign w:val="superscript"/>
    </w:rPr>
  </w:style>
  <w:style w:type="paragraph" w:customStyle="1" w:styleId="Testodellascheda">
    <w:name w:val="Testo della scheda"/>
    <w:basedOn w:val="Normale"/>
    <w:autoRedefine/>
    <w:rsid w:val="00DD4916"/>
    <w:pPr>
      <w:spacing w:after="120"/>
      <w:ind w:firstLine="357"/>
      <w:jc w:val="both"/>
    </w:pPr>
    <w:rPr>
      <w:rFonts w:ascii="Georgia" w:hAnsi="Georgia"/>
      <w:szCs w:val="20"/>
    </w:rPr>
  </w:style>
  <w:style w:type="character" w:styleId="Enfasicorsivo">
    <w:name w:val="Emphasis"/>
    <w:qFormat/>
    <w:rsid w:val="00647767"/>
    <w:rPr>
      <w:i/>
      <w:iCs/>
    </w:rPr>
  </w:style>
  <w:style w:type="character" w:styleId="Collegamentovisitato">
    <w:name w:val="FollowedHyperlink"/>
    <w:rsid w:val="00D2005D"/>
    <w:rPr>
      <w:color w:val="800080"/>
      <w:u w:val="single"/>
    </w:rPr>
  </w:style>
  <w:style w:type="paragraph" w:styleId="Paragrafoelenco">
    <w:name w:val="List Paragraph"/>
    <w:basedOn w:val="Normale"/>
    <w:uiPriority w:val="34"/>
    <w:qFormat/>
    <w:rsid w:val="000A0660"/>
    <w:pPr>
      <w:ind w:left="720"/>
      <w:contextualSpacing/>
    </w:pPr>
  </w:style>
  <w:style w:type="character" w:customStyle="1" w:styleId="Normale1Carattere">
    <w:name w:val="Normale1 Carattere"/>
    <w:link w:val="Normale1"/>
    <w:rsid w:val="00B373C9"/>
    <w:rPr>
      <w:sz w:val="24"/>
    </w:rPr>
  </w:style>
  <w:style w:type="paragraph" w:styleId="Testofumetto">
    <w:name w:val="Balloon Text"/>
    <w:basedOn w:val="Normale"/>
    <w:link w:val="TestofumettoCarattere"/>
    <w:rsid w:val="00BD7208"/>
    <w:rPr>
      <w:rFonts w:ascii="Tahoma" w:hAnsi="Tahoma" w:cs="Tahoma"/>
      <w:sz w:val="16"/>
      <w:szCs w:val="16"/>
    </w:rPr>
  </w:style>
  <w:style w:type="character" w:customStyle="1" w:styleId="TestofumettoCarattere">
    <w:name w:val="Testo fumetto Carattere"/>
    <w:basedOn w:val="Carpredefinitoparagrafo"/>
    <w:link w:val="Testofumetto"/>
    <w:rsid w:val="00BD7208"/>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rsid w:val="000874B3"/>
  </w:style>
  <w:style w:type="paragraph" w:customStyle="1" w:styleId="Default">
    <w:name w:val="Default"/>
    <w:rsid w:val="00E64AC7"/>
    <w:pPr>
      <w:autoSpaceDE w:val="0"/>
      <w:autoSpaceDN w:val="0"/>
      <w:adjustRightInd w:val="0"/>
    </w:pPr>
    <w:rPr>
      <w:rFonts w:ascii="Calibri" w:eastAsiaTheme="minorHAnsi" w:hAnsi="Calibri" w:cs="Calibri"/>
      <w:color w:val="000000"/>
      <w:sz w:val="24"/>
      <w:szCs w:val="24"/>
      <w:lang w:eastAsia="en-US"/>
    </w:rPr>
  </w:style>
  <w:style w:type="character" w:customStyle="1" w:styleId="Titolo1Carattere">
    <w:name w:val="Titolo 1 Carattere"/>
    <w:basedOn w:val="Carpredefinitoparagrafo"/>
    <w:link w:val="Titolo1"/>
    <w:rsid w:val="008D7A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1403">
      <w:bodyDiv w:val="1"/>
      <w:marLeft w:val="0"/>
      <w:marRight w:val="0"/>
      <w:marTop w:val="0"/>
      <w:marBottom w:val="0"/>
      <w:divBdr>
        <w:top w:val="none" w:sz="0" w:space="0" w:color="auto"/>
        <w:left w:val="none" w:sz="0" w:space="0" w:color="auto"/>
        <w:bottom w:val="none" w:sz="0" w:space="0" w:color="auto"/>
        <w:right w:val="none" w:sz="0" w:space="0" w:color="auto"/>
      </w:divBdr>
    </w:div>
    <w:div w:id="505365339">
      <w:bodyDiv w:val="1"/>
      <w:marLeft w:val="0"/>
      <w:marRight w:val="0"/>
      <w:marTop w:val="0"/>
      <w:marBottom w:val="0"/>
      <w:divBdr>
        <w:top w:val="none" w:sz="0" w:space="0" w:color="auto"/>
        <w:left w:val="none" w:sz="0" w:space="0" w:color="auto"/>
        <w:bottom w:val="none" w:sz="0" w:space="0" w:color="auto"/>
        <w:right w:val="none" w:sz="0" w:space="0" w:color="auto"/>
      </w:divBdr>
      <w:divsChild>
        <w:div w:id="904215957">
          <w:marLeft w:val="0"/>
          <w:marRight w:val="0"/>
          <w:marTop w:val="0"/>
          <w:marBottom w:val="0"/>
          <w:divBdr>
            <w:top w:val="none" w:sz="0" w:space="0" w:color="auto"/>
            <w:left w:val="none" w:sz="0" w:space="0" w:color="auto"/>
            <w:bottom w:val="none" w:sz="0" w:space="0" w:color="auto"/>
            <w:right w:val="none" w:sz="0" w:space="0" w:color="auto"/>
          </w:divBdr>
          <w:divsChild>
            <w:div w:id="1229262937">
              <w:marLeft w:val="0"/>
              <w:marRight w:val="0"/>
              <w:marTop w:val="0"/>
              <w:marBottom w:val="0"/>
              <w:divBdr>
                <w:top w:val="none" w:sz="0" w:space="0" w:color="auto"/>
                <w:left w:val="none" w:sz="0" w:space="0" w:color="auto"/>
                <w:bottom w:val="none" w:sz="0" w:space="0" w:color="auto"/>
                <w:right w:val="none" w:sz="0" w:space="0" w:color="auto"/>
              </w:divBdr>
              <w:divsChild>
                <w:div w:id="3131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7095">
      <w:bodyDiv w:val="1"/>
      <w:marLeft w:val="0"/>
      <w:marRight w:val="0"/>
      <w:marTop w:val="0"/>
      <w:marBottom w:val="0"/>
      <w:divBdr>
        <w:top w:val="none" w:sz="0" w:space="0" w:color="auto"/>
        <w:left w:val="none" w:sz="0" w:space="0" w:color="auto"/>
        <w:bottom w:val="none" w:sz="0" w:space="0" w:color="auto"/>
        <w:right w:val="none" w:sz="0" w:space="0" w:color="auto"/>
      </w:divBdr>
      <w:divsChild>
        <w:div w:id="56367827">
          <w:marLeft w:val="0"/>
          <w:marRight w:val="0"/>
          <w:marTop w:val="0"/>
          <w:marBottom w:val="0"/>
          <w:divBdr>
            <w:top w:val="none" w:sz="0" w:space="0" w:color="auto"/>
            <w:left w:val="none" w:sz="0" w:space="0" w:color="auto"/>
            <w:bottom w:val="none" w:sz="0" w:space="0" w:color="auto"/>
            <w:right w:val="none" w:sz="0" w:space="0" w:color="auto"/>
          </w:divBdr>
        </w:div>
        <w:div w:id="150873718">
          <w:marLeft w:val="0"/>
          <w:marRight w:val="0"/>
          <w:marTop w:val="0"/>
          <w:marBottom w:val="0"/>
          <w:divBdr>
            <w:top w:val="none" w:sz="0" w:space="0" w:color="auto"/>
            <w:left w:val="none" w:sz="0" w:space="0" w:color="auto"/>
            <w:bottom w:val="none" w:sz="0" w:space="0" w:color="auto"/>
            <w:right w:val="none" w:sz="0" w:space="0" w:color="auto"/>
          </w:divBdr>
        </w:div>
        <w:div w:id="319576128">
          <w:marLeft w:val="0"/>
          <w:marRight w:val="0"/>
          <w:marTop w:val="0"/>
          <w:marBottom w:val="0"/>
          <w:divBdr>
            <w:top w:val="none" w:sz="0" w:space="0" w:color="auto"/>
            <w:left w:val="none" w:sz="0" w:space="0" w:color="auto"/>
            <w:bottom w:val="none" w:sz="0" w:space="0" w:color="auto"/>
            <w:right w:val="none" w:sz="0" w:space="0" w:color="auto"/>
          </w:divBdr>
        </w:div>
        <w:div w:id="474952671">
          <w:marLeft w:val="0"/>
          <w:marRight w:val="0"/>
          <w:marTop w:val="0"/>
          <w:marBottom w:val="0"/>
          <w:divBdr>
            <w:top w:val="none" w:sz="0" w:space="0" w:color="auto"/>
            <w:left w:val="none" w:sz="0" w:space="0" w:color="auto"/>
            <w:bottom w:val="none" w:sz="0" w:space="0" w:color="auto"/>
            <w:right w:val="none" w:sz="0" w:space="0" w:color="auto"/>
          </w:divBdr>
        </w:div>
        <w:div w:id="478231336">
          <w:marLeft w:val="0"/>
          <w:marRight w:val="0"/>
          <w:marTop w:val="0"/>
          <w:marBottom w:val="0"/>
          <w:divBdr>
            <w:top w:val="none" w:sz="0" w:space="0" w:color="auto"/>
            <w:left w:val="none" w:sz="0" w:space="0" w:color="auto"/>
            <w:bottom w:val="none" w:sz="0" w:space="0" w:color="auto"/>
            <w:right w:val="none" w:sz="0" w:space="0" w:color="auto"/>
          </w:divBdr>
        </w:div>
        <w:div w:id="673799166">
          <w:marLeft w:val="0"/>
          <w:marRight w:val="0"/>
          <w:marTop w:val="0"/>
          <w:marBottom w:val="0"/>
          <w:divBdr>
            <w:top w:val="none" w:sz="0" w:space="0" w:color="auto"/>
            <w:left w:val="none" w:sz="0" w:space="0" w:color="auto"/>
            <w:bottom w:val="none" w:sz="0" w:space="0" w:color="auto"/>
            <w:right w:val="none" w:sz="0" w:space="0" w:color="auto"/>
          </w:divBdr>
        </w:div>
        <w:div w:id="695934566">
          <w:marLeft w:val="0"/>
          <w:marRight w:val="0"/>
          <w:marTop w:val="0"/>
          <w:marBottom w:val="0"/>
          <w:divBdr>
            <w:top w:val="none" w:sz="0" w:space="0" w:color="auto"/>
            <w:left w:val="none" w:sz="0" w:space="0" w:color="auto"/>
            <w:bottom w:val="none" w:sz="0" w:space="0" w:color="auto"/>
            <w:right w:val="none" w:sz="0" w:space="0" w:color="auto"/>
          </w:divBdr>
        </w:div>
        <w:div w:id="754519180">
          <w:marLeft w:val="0"/>
          <w:marRight w:val="0"/>
          <w:marTop w:val="0"/>
          <w:marBottom w:val="0"/>
          <w:divBdr>
            <w:top w:val="none" w:sz="0" w:space="0" w:color="auto"/>
            <w:left w:val="none" w:sz="0" w:space="0" w:color="auto"/>
            <w:bottom w:val="none" w:sz="0" w:space="0" w:color="auto"/>
            <w:right w:val="none" w:sz="0" w:space="0" w:color="auto"/>
          </w:divBdr>
        </w:div>
        <w:div w:id="763847438">
          <w:marLeft w:val="0"/>
          <w:marRight w:val="0"/>
          <w:marTop w:val="0"/>
          <w:marBottom w:val="0"/>
          <w:divBdr>
            <w:top w:val="none" w:sz="0" w:space="0" w:color="auto"/>
            <w:left w:val="none" w:sz="0" w:space="0" w:color="auto"/>
            <w:bottom w:val="none" w:sz="0" w:space="0" w:color="auto"/>
            <w:right w:val="none" w:sz="0" w:space="0" w:color="auto"/>
          </w:divBdr>
        </w:div>
        <w:div w:id="874778502">
          <w:marLeft w:val="0"/>
          <w:marRight w:val="0"/>
          <w:marTop w:val="0"/>
          <w:marBottom w:val="0"/>
          <w:divBdr>
            <w:top w:val="none" w:sz="0" w:space="0" w:color="auto"/>
            <w:left w:val="none" w:sz="0" w:space="0" w:color="auto"/>
            <w:bottom w:val="none" w:sz="0" w:space="0" w:color="auto"/>
            <w:right w:val="none" w:sz="0" w:space="0" w:color="auto"/>
          </w:divBdr>
        </w:div>
        <w:div w:id="1202354172">
          <w:marLeft w:val="0"/>
          <w:marRight w:val="0"/>
          <w:marTop w:val="0"/>
          <w:marBottom w:val="0"/>
          <w:divBdr>
            <w:top w:val="none" w:sz="0" w:space="0" w:color="auto"/>
            <w:left w:val="none" w:sz="0" w:space="0" w:color="auto"/>
            <w:bottom w:val="none" w:sz="0" w:space="0" w:color="auto"/>
            <w:right w:val="none" w:sz="0" w:space="0" w:color="auto"/>
          </w:divBdr>
        </w:div>
        <w:div w:id="1340351126">
          <w:marLeft w:val="0"/>
          <w:marRight w:val="0"/>
          <w:marTop w:val="0"/>
          <w:marBottom w:val="0"/>
          <w:divBdr>
            <w:top w:val="none" w:sz="0" w:space="0" w:color="auto"/>
            <w:left w:val="none" w:sz="0" w:space="0" w:color="auto"/>
            <w:bottom w:val="none" w:sz="0" w:space="0" w:color="auto"/>
            <w:right w:val="none" w:sz="0" w:space="0" w:color="auto"/>
          </w:divBdr>
        </w:div>
        <w:div w:id="1348753845">
          <w:marLeft w:val="0"/>
          <w:marRight w:val="0"/>
          <w:marTop w:val="0"/>
          <w:marBottom w:val="0"/>
          <w:divBdr>
            <w:top w:val="none" w:sz="0" w:space="0" w:color="auto"/>
            <w:left w:val="none" w:sz="0" w:space="0" w:color="auto"/>
            <w:bottom w:val="none" w:sz="0" w:space="0" w:color="auto"/>
            <w:right w:val="none" w:sz="0" w:space="0" w:color="auto"/>
          </w:divBdr>
        </w:div>
        <w:div w:id="1447504521">
          <w:marLeft w:val="0"/>
          <w:marRight w:val="0"/>
          <w:marTop w:val="0"/>
          <w:marBottom w:val="0"/>
          <w:divBdr>
            <w:top w:val="none" w:sz="0" w:space="0" w:color="auto"/>
            <w:left w:val="none" w:sz="0" w:space="0" w:color="auto"/>
            <w:bottom w:val="none" w:sz="0" w:space="0" w:color="auto"/>
            <w:right w:val="none" w:sz="0" w:space="0" w:color="auto"/>
          </w:divBdr>
        </w:div>
        <w:div w:id="1575580942">
          <w:marLeft w:val="0"/>
          <w:marRight w:val="0"/>
          <w:marTop w:val="0"/>
          <w:marBottom w:val="0"/>
          <w:divBdr>
            <w:top w:val="none" w:sz="0" w:space="0" w:color="auto"/>
            <w:left w:val="none" w:sz="0" w:space="0" w:color="auto"/>
            <w:bottom w:val="none" w:sz="0" w:space="0" w:color="auto"/>
            <w:right w:val="none" w:sz="0" w:space="0" w:color="auto"/>
          </w:divBdr>
        </w:div>
        <w:div w:id="1620601959">
          <w:marLeft w:val="0"/>
          <w:marRight w:val="0"/>
          <w:marTop w:val="0"/>
          <w:marBottom w:val="0"/>
          <w:divBdr>
            <w:top w:val="none" w:sz="0" w:space="0" w:color="auto"/>
            <w:left w:val="none" w:sz="0" w:space="0" w:color="auto"/>
            <w:bottom w:val="none" w:sz="0" w:space="0" w:color="auto"/>
            <w:right w:val="none" w:sz="0" w:space="0" w:color="auto"/>
          </w:divBdr>
        </w:div>
        <w:div w:id="1662390421">
          <w:marLeft w:val="0"/>
          <w:marRight w:val="0"/>
          <w:marTop w:val="0"/>
          <w:marBottom w:val="0"/>
          <w:divBdr>
            <w:top w:val="none" w:sz="0" w:space="0" w:color="auto"/>
            <w:left w:val="none" w:sz="0" w:space="0" w:color="auto"/>
            <w:bottom w:val="none" w:sz="0" w:space="0" w:color="auto"/>
            <w:right w:val="none" w:sz="0" w:space="0" w:color="auto"/>
          </w:divBdr>
        </w:div>
        <w:div w:id="1706825993">
          <w:marLeft w:val="0"/>
          <w:marRight w:val="0"/>
          <w:marTop w:val="0"/>
          <w:marBottom w:val="0"/>
          <w:divBdr>
            <w:top w:val="none" w:sz="0" w:space="0" w:color="auto"/>
            <w:left w:val="none" w:sz="0" w:space="0" w:color="auto"/>
            <w:bottom w:val="none" w:sz="0" w:space="0" w:color="auto"/>
            <w:right w:val="none" w:sz="0" w:space="0" w:color="auto"/>
          </w:divBdr>
        </w:div>
        <w:div w:id="2051420387">
          <w:marLeft w:val="0"/>
          <w:marRight w:val="0"/>
          <w:marTop w:val="0"/>
          <w:marBottom w:val="0"/>
          <w:divBdr>
            <w:top w:val="none" w:sz="0" w:space="0" w:color="auto"/>
            <w:left w:val="none" w:sz="0" w:space="0" w:color="auto"/>
            <w:bottom w:val="none" w:sz="0" w:space="0" w:color="auto"/>
            <w:right w:val="none" w:sz="0" w:space="0" w:color="auto"/>
          </w:divBdr>
        </w:div>
        <w:div w:id="2097356391">
          <w:marLeft w:val="0"/>
          <w:marRight w:val="0"/>
          <w:marTop w:val="0"/>
          <w:marBottom w:val="0"/>
          <w:divBdr>
            <w:top w:val="none" w:sz="0" w:space="0" w:color="auto"/>
            <w:left w:val="none" w:sz="0" w:space="0" w:color="auto"/>
            <w:bottom w:val="none" w:sz="0" w:space="0" w:color="auto"/>
            <w:right w:val="none" w:sz="0" w:space="0" w:color="auto"/>
          </w:divBdr>
        </w:div>
        <w:div w:id="2133670679">
          <w:marLeft w:val="0"/>
          <w:marRight w:val="0"/>
          <w:marTop w:val="0"/>
          <w:marBottom w:val="0"/>
          <w:divBdr>
            <w:top w:val="none" w:sz="0" w:space="0" w:color="auto"/>
            <w:left w:val="none" w:sz="0" w:space="0" w:color="auto"/>
            <w:bottom w:val="none" w:sz="0" w:space="0" w:color="auto"/>
            <w:right w:val="none" w:sz="0" w:space="0" w:color="auto"/>
          </w:divBdr>
        </w:div>
        <w:div w:id="2137142092">
          <w:marLeft w:val="0"/>
          <w:marRight w:val="0"/>
          <w:marTop w:val="0"/>
          <w:marBottom w:val="0"/>
          <w:divBdr>
            <w:top w:val="none" w:sz="0" w:space="0" w:color="auto"/>
            <w:left w:val="none" w:sz="0" w:space="0" w:color="auto"/>
            <w:bottom w:val="none" w:sz="0" w:space="0" w:color="auto"/>
            <w:right w:val="none" w:sz="0" w:space="0" w:color="auto"/>
          </w:divBdr>
        </w:div>
      </w:divsChild>
    </w:div>
    <w:div w:id="867185029">
      <w:bodyDiv w:val="1"/>
      <w:marLeft w:val="0"/>
      <w:marRight w:val="0"/>
      <w:marTop w:val="0"/>
      <w:marBottom w:val="0"/>
      <w:divBdr>
        <w:top w:val="none" w:sz="0" w:space="0" w:color="auto"/>
        <w:left w:val="none" w:sz="0" w:space="0" w:color="auto"/>
        <w:bottom w:val="none" w:sz="0" w:space="0" w:color="auto"/>
        <w:right w:val="none" w:sz="0" w:space="0" w:color="auto"/>
      </w:divBdr>
      <w:divsChild>
        <w:div w:id="2051681">
          <w:marLeft w:val="0"/>
          <w:marRight w:val="0"/>
          <w:marTop w:val="0"/>
          <w:marBottom w:val="0"/>
          <w:divBdr>
            <w:top w:val="none" w:sz="0" w:space="0" w:color="auto"/>
            <w:left w:val="none" w:sz="0" w:space="0" w:color="auto"/>
            <w:bottom w:val="none" w:sz="0" w:space="0" w:color="auto"/>
            <w:right w:val="none" w:sz="0" w:space="0" w:color="auto"/>
          </w:divBdr>
        </w:div>
        <w:div w:id="2631861">
          <w:marLeft w:val="0"/>
          <w:marRight w:val="0"/>
          <w:marTop w:val="0"/>
          <w:marBottom w:val="0"/>
          <w:divBdr>
            <w:top w:val="none" w:sz="0" w:space="0" w:color="auto"/>
            <w:left w:val="none" w:sz="0" w:space="0" w:color="auto"/>
            <w:bottom w:val="none" w:sz="0" w:space="0" w:color="auto"/>
            <w:right w:val="none" w:sz="0" w:space="0" w:color="auto"/>
          </w:divBdr>
        </w:div>
        <w:div w:id="204410998">
          <w:marLeft w:val="0"/>
          <w:marRight w:val="0"/>
          <w:marTop w:val="0"/>
          <w:marBottom w:val="0"/>
          <w:divBdr>
            <w:top w:val="none" w:sz="0" w:space="0" w:color="auto"/>
            <w:left w:val="none" w:sz="0" w:space="0" w:color="auto"/>
            <w:bottom w:val="none" w:sz="0" w:space="0" w:color="auto"/>
            <w:right w:val="none" w:sz="0" w:space="0" w:color="auto"/>
          </w:divBdr>
        </w:div>
        <w:div w:id="1805614759">
          <w:marLeft w:val="0"/>
          <w:marRight w:val="0"/>
          <w:marTop w:val="0"/>
          <w:marBottom w:val="0"/>
          <w:divBdr>
            <w:top w:val="none" w:sz="0" w:space="0" w:color="auto"/>
            <w:left w:val="none" w:sz="0" w:space="0" w:color="auto"/>
            <w:bottom w:val="none" w:sz="0" w:space="0" w:color="auto"/>
            <w:right w:val="none" w:sz="0" w:space="0" w:color="auto"/>
          </w:divBdr>
        </w:div>
        <w:div w:id="2092921460">
          <w:marLeft w:val="0"/>
          <w:marRight w:val="0"/>
          <w:marTop w:val="0"/>
          <w:marBottom w:val="0"/>
          <w:divBdr>
            <w:top w:val="none" w:sz="0" w:space="0" w:color="auto"/>
            <w:left w:val="none" w:sz="0" w:space="0" w:color="auto"/>
            <w:bottom w:val="none" w:sz="0" w:space="0" w:color="auto"/>
            <w:right w:val="none" w:sz="0" w:space="0" w:color="auto"/>
          </w:divBdr>
        </w:div>
      </w:divsChild>
    </w:div>
    <w:div w:id="983774058">
      <w:bodyDiv w:val="1"/>
      <w:marLeft w:val="0"/>
      <w:marRight w:val="0"/>
      <w:marTop w:val="0"/>
      <w:marBottom w:val="0"/>
      <w:divBdr>
        <w:top w:val="none" w:sz="0" w:space="0" w:color="auto"/>
        <w:left w:val="none" w:sz="0" w:space="0" w:color="auto"/>
        <w:bottom w:val="none" w:sz="0" w:space="0" w:color="auto"/>
        <w:right w:val="none" w:sz="0" w:space="0" w:color="auto"/>
      </w:divBdr>
      <w:divsChild>
        <w:div w:id="85465628">
          <w:marLeft w:val="0"/>
          <w:marRight w:val="0"/>
          <w:marTop w:val="0"/>
          <w:marBottom w:val="0"/>
          <w:divBdr>
            <w:top w:val="none" w:sz="0" w:space="0" w:color="auto"/>
            <w:left w:val="none" w:sz="0" w:space="0" w:color="auto"/>
            <w:bottom w:val="none" w:sz="0" w:space="0" w:color="auto"/>
            <w:right w:val="none" w:sz="0" w:space="0" w:color="auto"/>
          </w:divBdr>
        </w:div>
        <w:div w:id="644511331">
          <w:marLeft w:val="0"/>
          <w:marRight w:val="0"/>
          <w:marTop w:val="0"/>
          <w:marBottom w:val="0"/>
          <w:divBdr>
            <w:top w:val="none" w:sz="0" w:space="0" w:color="auto"/>
            <w:left w:val="none" w:sz="0" w:space="0" w:color="auto"/>
            <w:bottom w:val="none" w:sz="0" w:space="0" w:color="auto"/>
            <w:right w:val="none" w:sz="0" w:space="0" w:color="auto"/>
          </w:divBdr>
        </w:div>
        <w:div w:id="1579319193">
          <w:marLeft w:val="0"/>
          <w:marRight w:val="0"/>
          <w:marTop w:val="0"/>
          <w:marBottom w:val="0"/>
          <w:divBdr>
            <w:top w:val="none" w:sz="0" w:space="0" w:color="auto"/>
            <w:left w:val="none" w:sz="0" w:space="0" w:color="auto"/>
            <w:bottom w:val="none" w:sz="0" w:space="0" w:color="auto"/>
            <w:right w:val="none" w:sz="0" w:space="0" w:color="auto"/>
          </w:divBdr>
        </w:div>
        <w:div w:id="1716420566">
          <w:marLeft w:val="0"/>
          <w:marRight w:val="0"/>
          <w:marTop w:val="0"/>
          <w:marBottom w:val="0"/>
          <w:divBdr>
            <w:top w:val="none" w:sz="0" w:space="0" w:color="auto"/>
            <w:left w:val="none" w:sz="0" w:space="0" w:color="auto"/>
            <w:bottom w:val="none" w:sz="0" w:space="0" w:color="auto"/>
            <w:right w:val="none" w:sz="0" w:space="0" w:color="auto"/>
          </w:divBdr>
        </w:div>
      </w:divsChild>
    </w:div>
    <w:div w:id="1049459266">
      <w:bodyDiv w:val="1"/>
      <w:marLeft w:val="0"/>
      <w:marRight w:val="0"/>
      <w:marTop w:val="0"/>
      <w:marBottom w:val="0"/>
      <w:divBdr>
        <w:top w:val="none" w:sz="0" w:space="0" w:color="auto"/>
        <w:left w:val="none" w:sz="0" w:space="0" w:color="auto"/>
        <w:bottom w:val="none" w:sz="0" w:space="0" w:color="auto"/>
        <w:right w:val="none" w:sz="0" w:space="0" w:color="auto"/>
      </w:divBdr>
    </w:div>
    <w:div w:id="1129009211">
      <w:bodyDiv w:val="1"/>
      <w:marLeft w:val="0"/>
      <w:marRight w:val="0"/>
      <w:marTop w:val="0"/>
      <w:marBottom w:val="0"/>
      <w:divBdr>
        <w:top w:val="none" w:sz="0" w:space="0" w:color="auto"/>
        <w:left w:val="none" w:sz="0" w:space="0" w:color="auto"/>
        <w:bottom w:val="none" w:sz="0" w:space="0" w:color="auto"/>
        <w:right w:val="none" w:sz="0" w:space="0" w:color="auto"/>
      </w:divBdr>
      <w:divsChild>
        <w:div w:id="521407287">
          <w:marLeft w:val="0"/>
          <w:marRight w:val="0"/>
          <w:marTop w:val="0"/>
          <w:marBottom w:val="0"/>
          <w:divBdr>
            <w:top w:val="none" w:sz="0" w:space="0" w:color="auto"/>
            <w:left w:val="none" w:sz="0" w:space="0" w:color="auto"/>
            <w:bottom w:val="none" w:sz="0" w:space="0" w:color="auto"/>
            <w:right w:val="none" w:sz="0" w:space="0" w:color="auto"/>
          </w:divBdr>
        </w:div>
        <w:div w:id="814420851">
          <w:marLeft w:val="0"/>
          <w:marRight w:val="0"/>
          <w:marTop w:val="0"/>
          <w:marBottom w:val="0"/>
          <w:divBdr>
            <w:top w:val="none" w:sz="0" w:space="0" w:color="auto"/>
            <w:left w:val="none" w:sz="0" w:space="0" w:color="auto"/>
            <w:bottom w:val="none" w:sz="0" w:space="0" w:color="auto"/>
            <w:right w:val="none" w:sz="0" w:space="0" w:color="auto"/>
          </w:divBdr>
        </w:div>
        <w:div w:id="1288970094">
          <w:marLeft w:val="0"/>
          <w:marRight w:val="0"/>
          <w:marTop w:val="0"/>
          <w:marBottom w:val="0"/>
          <w:divBdr>
            <w:top w:val="none" w:sz="0" w:space="0" w:color="auto"/>
            <w:left w:val="none" w:sz="0" w:space="0" w:color="auto"/>
            <w:bottom w:val="none" w:sz="0" w:space="0" w:color="auto"/>
            <w:right w:val="none" w:sz="0" w:space="0" w:color="auto"/>
          </w:divBdr>
        </w:div>
        <w:div w:id="1543205118">
          <w:marLeft w:val="0"/>
          <w:marRight w:val="0"/>
          <w:marTop w:val="0"/>
          <w:marBottom w:val="0"/>
          <w:divBdr>
            <w:top w:val="none" w:sz="0" w:space="0" w:color="auto"/>
            <w:left w:val="none" w:sz="0" w:space="0" w:color="auto"/>
            <w:bottom w:val="none" w:sz="0" w:space="0" w:color="auto"/>
            <w:right w:val="none" w:sz="0" w:space="0" w:color="auto"/>
          </w:divBdr>
        </w:div>
        <w:div w:id="1826511943">
          <w:marLeft w:val="0"/>
          <w:marRight w:val="0"/>
          <w:marTop w:val="0"/>
          <w:marBottom w:val="0"/>
          <w:divBdr>
            <w:top w:val="none" w:sz="0" w:space="0" w:color="auto"/>
            <w:left w:val="none" w:sz="0" w:space="0" w:color="auto"/>
            <w:bottom w:val="none" w:sz="0" w:space="0" w:color="auto"/>
            <w:right w:val="none" w:sz="0" w:space="0" w:color="auto"/>
          </w:divBdr>
        </w:div>
      </w:divsChild>
    </w:div>
    <w:div w:id="1645503903">
      <w:bodyDiv w:val="1"/>
      <w:marLeft w:val="0"/>
      <w:marRight w:val="0"/>
      <w:marTop w:val="0"/>
      <w:marBottom w:val="0"/>
      <w:divBdr>
        <w:top w:val="none" w:sz="0" w:space="0" w:color="auto"/>
        <w:left w:val="none" w:sz="0" w:space="0" w:color="auto"/>
        <w:bottom w:val="none" w:sz="0" w:space="0" w:color="auto"/>
        <w:right w:val="none" w:sz="0" w:space="0" w:color="auto"/>
      </w:divBdr>
    </w:div>
    <w:div w:id="1658339357">
      <w:bodyDiv w:val="1"/>
      <w:marLeft w:val="0"/>
      <w:marRight w:val="0"/>
      <w:marTop w:val="0"/>
      <w:marBottom w:val="0"/>
      <w:divBdr>
        <w:top w:val="none" w:sz="0" w:space="0" w:color="auto"/>
        <w:left w:val="none" w:sz="0" w:space="0" w:color="auto"/>
        <w:bottom w:val="none" w:sz="0" w:space="0" w:color="auto"/>
        <w:right w:val="none" w:sz="0" w:space="0" w:color="auto"/>
      </w:divBdr>
    </w:div>
    <w:div w:id="1680160307">
      <w:bodyDiv w:val="1"/>
      <w:marLeft w:val="0"/>
      <w:marRight w:val="0"/>
      <w:marTop w:val="0"/>
      <w:marBottom w:val="0"/>
      <w:divBdr>
        <w:top w:val="none" w:sz="0" w:space="0" w:color="auto"/>
        <w:left w:val="none" w:sz="0" w:space="0" w:color="auto"/>
        <w:bottom w:val="none" w:sz="0" w:space="0" w:color="auto"/>
        <w:right w:val="none" w:sz="0" w:space="0" w:color="auto"/>
      </w:divBdr>
      <w:divsChild>
        <w:div w:id="22249257">
          <w:marLeft w:val="0"/>
          <w:marRight w:val="0"/>
          <w:marTop w:val="0"/>
          <w:marBottom w:val="0"/>
          <w:divBdr>
            <w:top w:val="none" w:sz="0" w:space="0" w:color="auto"/>
            <w:left w:val="none" w:sz="0" w:space="0" w:color="auto"/>
            <w:bottom w:val="none" w:sz="0" w:space="0" w:color="auto"/>
            <w:right w:val="none" w:sz="0" w:space="0" w:color="auto"/>
          </w:divBdr>
        </w:div>
        <w:div w:id="126166118">
          <w:marLeft w:val="0"/>
          <w:marRight w:val="0"/>
          <w:marTop w:val="0"/>
          <w:marBottom w:val="0"/>
          <w:divBdr>
            <w:top w:val="none" w:sz="0" w:space="0" w:color="auto"/>
            <w:left w:val="none" w:sz="0" w:space="0" w:color="auto"/>
            <w:bottom w:val="none" w:sz="0" w:space="0" w:color="auto"/>
            <w:right w:val="none" w:sz="0" w:space="0" w:color="auto"/>
          </w:divBdr>
        </w:div>
        <w:div w:id="659891255">
          <w:marLeft w:val="0"/>
          <w:marRight w:val="0"/>
          <w:marTop w:val="0"/>
          <w:marBottom w:val="0"/>
          <w:divBdr>
            <w:top w:val="none" w:sz="0" w:space="0" w:color="auto"/>
            <w:left w:val="none" w:sz="0" w:space="0" w:color="auto"/>
            <w:bottom w:val="none" w:sz="0" w:space="0" w:color="auto"/>
            <w:right w:val="none" w:sz="0" w:space="0" w:color="auto"/>
          </w:divBdr>
        </w:div>
        <w:div w:id="916011527">
          <w:marLeft w:val="0"/>
          <w:marRight w:val="0"/>
          <w:marTop w:val="0"/>
          <w:marBottom w:val="0"/>
          <w:divBdr>
            <w:top w:val="none" w:sz="0" w:space="0" w:color="auto"/>
            <w:left w:val="none" w:sz="0" w:space="0" w:color="auto"/>
            <w:bottom w:val="none" w:sz="0" w:space="0" w:color="auto"/>
            <w:right w:val="none" w:sz="0" w:space="0" w:color="auto"/>
          </w:divBdr>
        </w:div>
        <w:div w:id="1260068362">
          <w:marLeft w:val="0"/>
          <w:marRight w:val="0"/>
          <w:marTop w:val="0"/>
          <w:marBottom w:val="0"/>
          <w:divBdr>
            <w:top w:val="none" w:sz="0" w:space="0" w:color="auto"/>
            <w:left w:val="none" w:sz="0" w:space="0" w:color="auto"/>
            <w:bottom w:val="none" w:sz="0" w:space="0" w:color="auto"/>
            <w:right w:val="none" w:sz="0" w:space="0" w:color="auto"/>
          </w:divBdr>
        </w:div>
        <w:div w:id="1262684772">
          <w:marLeft w:val="0"/>
          <w:marRight w:val="0"/>
          <w:marTop w:val="0"/>
          <w:marBottom w:val="0"/>
          <w:divBdr>
            <w:top w:val="none" w:sz="0" w:space="0" w:color="auto"/>
            <w:left w:val="none" w:sz="0" w:space="0" w:color="auto"/>
            <w:bottom w:val="none" w:sz="0" w:space="0" w:color="auto"/>
            <w:right w:val="none" w:sz="0" w:space="0" w:color="auto"/>
          </w:divBdr>
        </w:div>
        <w:div w:id="1607082679">
          <w:marLeft w:val="0"/>
          <w:marRight w:val="0"/>
          <w:marTop w:val="0"/>
          <w:marBottom w:val="0"/>
          <w:divBdr>
            <w:top w:val="none" w:sz="0" w:space="0" w:color="auto"/>
            <w:left w:val="none" w:sz="0" w:space="0" w:color="auto"/>
            <w:bottom w:val="none" w:sz="0" w:space="0" w:color="auto"/>
            <w:right w:val="none" w:sz="0" w:space="0" w:color="auto"/>
          </w:divBdr>
        </w:div>
        <w:div w:id="1817333061">
          <w:marLeft w:val="0"/>
          <w:marRight w:val="0"/>
          <w:marTop w:val="0"/>
          <w:marBottom w:val="0"/>
          <w:divBdr>
            <w:top w:val="none" w:sz="0" w:space="0" w:color="auto"/>
            <w:left w:val="none" w:sz="0" w:space="0" w:color="auto"/>
            <w:bottom w:val="none" w:sz="0" w:space="0" w:color="auto"/>
            <w:right w:val="none" w:sz="0" w:space="0" w:color="auto"/>
          </w:divBdr>
        </w:div>
        <w:div w:id="1840075236">
          <w:marLeft w:val="0"/>
          <w:marRight w:val="0"/>
          <w:marTop w:val="0"/>
          <w:marBottom w:val="0"/>
          <w:divBdr>
            <w:top w:val="none" w:sz="0" w:space="0" w:color="auto"/>
            <w:left w:val="none" w:sz="0" w:space="0" w:color="auto"/>
            <w:bottom w:val="none" w:sz="0" w:space="0" w:color="auto"/>
            <w:right w:val="none" w:sz="0" w:space="0" w:color="auto"/>
          </w:divBdr>
        </w:div>
        <w:div w:id="2134669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uzer.de/s1.htm?g=eeg+2014&amp;a=1" TargetMode="External"/><Relationship Id="rId18" Type="http://schemas.openxmlformats.org/officeDocument/2006/relationships/hyperlink" Target="http://www.buzer.de/gesetz/11230/a188260.htm" TargetMode="External"/><Relationship Id="rId26" Type="http://schemas.openxmlformats.org/officeDocument/2006/relationships/hyperlink" Target="https://www.ofgem.gov.uk/electricity/wholesale-market/market-efficiency-review-and-reform/electricity-market-reform/capacity-market-cm-rules" TargetMode="External"/><Relationship Id="rId39" Type="http://schemas.openxmlformats.org/officeDocument/2006/relationships/hyperlink" Target="http://noticias.juridicas.com/base_datos/Admin/l2-2011.html" TargetMode="External"/><Relationship Id="rId3" Type="http://schemas.openxmlformats.org/officeDocument/2006/relationships/styles" Target="styles.xml"/><Relationship Id="rId21" Type="http://schemas.openxmlformats.org/officeDocument/2006/relationships/hyperlink" Target="http://www.legislation.gov.uk/ukpga/2009/19/contents" TargetMode="External"/><Relationship Id="rId34" Type="http://schemas.openxmlformats.org/officeDocument/2006/relationships/hyperlink" Target="https://www.gov.uk/government/publications/industrial-strategy-building-a-britain-fit-for-the-future" TargetMode="External"/><Relationship Id="rId42" Type="http://schemas.openxmlformats.org/officeDocument/2006/relationships/hyperlink" Target="http://noticias.juridicas.com/base_datos/Admin/519509-l-24-2013-de-26-dic-del-sector-electrico.html" TargetMode="External"/><Relationship Id="rId47" Type="http://schemas.openxmlformats.org/officeDocument/2006/relationships/hyperlink" Target="http://noticias.juridicas.com/base_datos/Admin/600048-rd-617-2017-de-16-jun-regula-la-concesion-directa-de-ayudas-para-la-adquisicion.htm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uzer.de/gesetz/9848/index.htm" TargetMode="External"/><Relationship Id="rId17" Type="http://schemas.openxmlformats.org/officeDocument/2006/relationships/hyperlink" Target="http://www.buzer.de/gesetz/11230/a188260.htm" TargetMode="External"/><Relationship Id="rId25" Type="http://schemas.openxmlformats.org/officeDocument/2006/relationships/hyperlink" Target="http://www.legislation.gov.uk/ukpga/2013/32/contents/enacted" TargetMode="External"/><Relationship Id="rId33" Type="http://schemas.openxmlformats.org/officeDocument/2006/relationships/hyperlink" Target="http://businessadvice.co.uk/finance/autumn-budget-2017-national-productivity-investment-fund-increased-to-31bn/" TargetMode="External"/><Relationship Id="rId38" Type="http://schemas.openxmlformats.org/officeDocument/2006/relationships/hyperlink" Target="https://ovacen.com/wp-content/uploads/2014/07/plan-nacional-de-accion-de-eficiencia-energetica.pdf" TargetMode="External"/><Relationship Id="rId46" Type="http://schemas.openxmlformats.org/officeDocument/2006/relationships/hyperlink" Target="http://www.boe.es/buscar/doc.php?id=BOE-A-2015-12900" TargetMode="External"/><Relationship Id="rId2" Type="http://schemas.openxmlformats.org/officeDocument/2006/relationships/numbering" Target="numbering.xml"/><Relationship Id="rId16" Type="http://schemas.openxmlformats.org/officeDocument/2006/relationships/hyperlink" Target="http://www.buzer.de/gesetz/11230/a188277.htm" TargetMode="External"/><Relationship Id="rId20" Type="http://schemas.openxmlformats.org/officeDocument/2006/relationships/hyperlink" Target="https://ec.europa.eu/energy/sites/ener/files/documents/2014_neeap_united-kingdom.pdf" TargetMode="External"/><Relationship Id="rId29" Type="http://schemas.openxmlformats.org/officeDocument/2006/relationships/hyperlink" Target="http://data.parliament.uk/writtenevidence/committeeevidence.svc/evidencedocument/economic-affairs-committee/the-economics-of-uk-energy-policy/oral/45349.html" TargetMode="External"/><Relationship Id="rId41" Type="http://schemas.openxmlformats.org/officeDocument/2006/relationships/hyperlink" Target="http://www.idae.es/uploads/documentos/documentos_Resumen_PER_2011-2020_15f3dad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ologique-solidaire.gouv.fr/sites/default/files/PNAEE%202017.pdf" TargetMode="External"/><Relationship Id="rId24" Type="http://schemas.openxmlformats.org/officeDocument/2006/relationships/hyperlink" Target="http://www.legislation.gov.uk/ukpga/2011/16/contents" TargetMode="External"/><Relationship Id="rId32" Type="http://schemas.openxmlformats.org/officeDocument/2006/relationships/hyperlink" Target="https://innovateuk.blog.gov.uk/tag/industrial-strategy-challenge-fund/" TargetMode="External"/><Relationship Id="rId37" Type="http://schemas.openxmlformats.org/officeDocument/2006/relationships/hyperlink" Target="http://www.minetad.gob.es/energia/es-ES/Novedades/Documents/PAAEE2011_2020.pdf" TargetMode="External"/><Relationship Id="rId40" Type="http://schemas.openxmlformats.org/officeDocument/2006/relationships/hyperlink" Target="http://noticias.juridicas.com/base_datos/Admin/l2-2011.t3.html" TargetMode="External"/><Relationship Id="rId45" Type="http://schemas.openxmlformats.org/officeDocument/2006/relationships/hyperlink" Target="http://www.boe.es/buscar/doc.php?id=BOE-A-2015-4215" TargetMode="External"/><Relationship Id="rId5" Type="http://schemas.openxmlformats.org/officeDocument/2006/relationships/settings" Target="settings.xml"/><Relationship Id="rId15" Type="http://schemas.openxmlformats.org/officeDocument/2006/relationships/hyperlink" Target="http://www.buzer.de/gesetz/11230/a188260.htm" TargetMode="External"/><Relationship Id="rId23" Type="http://schemas.openxmlformats.org/officeDocument/2006/relationships/hyperlink" Target="http://www.legislation.gov.uk/ukpga/2008/27/contents" TargetMode="External"/><Relationship Id="rId28" Type="http://schemas.openxmlformats.org/officeDocument/2006/relationships/hyperlink" Target="https://www.gov.uk/government/organisations/department-for-business-energy-and-industrial-strategy" TargetMode="External"/><Relationship Id="rId36" Type="http://schemas.openxmlformats.org/officeDocument/2006/relationships/hyperlink" Target="https://www.publications.parliament.uk/pa/cm201617/cmselect/cmenergy/705/705.pdf" TargetMode="External"/><Relationship Id="rId49" Type="http://schemas.openxmlformats.org/officeDocument/2006/relationships/footer" Target="footer2.xml"/><Relationship Id="rId10" Type="http://schemas.openxmlformats.org/officeDocument/2006/relationships/hyperlink" Target="http://www.developpement-durable.gouv.fr/sites/default/files/La%20loi%20de%20transition%20%C3%A9nerg%C3%A9tique%20pour%20la%20croissance%20verte%20en%20actions%20%28%2032%20pages%20-%20juillet%202016%20-%20Versions%20fran%C3%A7aise%29.pdf" TargetMode="External"/><Relationship Id="rId19" Type="http://schemas.openxmlformats.org/officeDocument/2006/relationships/hyperlink" Target="http://www.bmub.bund.de/fileadmin/bmu-import/files/pdfs/allgemein/application/pdf/klimapaket_aug2007.pdf" TargetMode="External"/><Relationship Id="rId31" Type="http://schemas.openxmlformats.org/officeDocument/2006/relationships/hyperlink" Target="http://www.rcuk.ac.uk/research/xrcprogrammes/energy/energyresearch/supergen/supergen-phase-4-2017/" TargetMode="External"/><Relationship Id="rId44" Type="http://schemas.openxmlformats.org/officeDocument/2006/relationships/hyperlink" Target="http://noticias.juridicas.com/base_datos/Admin/560388-rd-900-2015-de-9-oct-condiciones-administrativas-tecnicas-y-economicas.html" TargetMode="External"/><Relationship Id="rId4" Type="http://schemas.microsoft.com/office/2007/relationships/stylesWithEffects" Target="stylesWithEffects.xml"/><Relationship Id="rId9" Type="http://schemas.openxmlformats.org/officeDocument/2006/relationships/hyperlink" Target="https://www.legifrance.gouv.fr/affichTexte.do;jsessionid=9FFF46A15BE394945C5E711F53779333.tpdila12v_3?cidTexte=JORFTEXT000033312688&amp;dateTexte=&amp;oldAction=rechJO&amp;categorieLien=id&amp;idJO=JORFCONT000033312664" TargetMode="External"/><Relationship Id="rId14" Type="http://schemas.openxmlformats.org/officeDocument/2006/relationships/hyperlink" Target="http://www.buzer.de/gesetz/11230/a188260.htm" TargetMode="External"/><Relationship Id="rId22" Type="http://schemas.openxmlformats.org/officeDocument/2006/relationships/hyperlink" Target="http://www.legislation.gov.uk/ukpga/2010/27/contents" TargetMode="External"/><Relationship Id="rId27" Type="http://schemas.openxmlformats.org/officeDocument/2006/relationships/hyperlink" Target="https://www.gov.uk/government/uploads/system/uploads/attachment_data/file/586626/building-our-industrial-strategy-green-paper.pdf" TargetMode="External"/><Relationship Id="rId30" Type="http://schemas.openxmlformats.org/officeDocument/2006/relationships/hyperlink" Target="http://www.rcuk.ac.uk/research/xrcprogrammes/energy/energyresearch/supergen/" TargetMode="External"/><Relationship Id="rId35" Type="http://schemas.openxmlformats.org/officeDocument/2006/relationships/hyperlink" Target="https://www.publications.parliament.uk/pa/cm201617/cmselect/cmenergy/705/705.pdf" TargetMode="External"/><Relationship Id="rId43" Type="http://schemas.openxmlformats.org/officeDocument/2006/relationships/hyperlink" Target="http://noticias.juridicas.com/base_datos/Admin/531053-rd-413-2014-de-6-de-junio-por-el-que-se-regula-la-actividad-de-produccion.html"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ublications.parliament.uk/pa/ld201617/ldselect/ldeucom/109/10902.htm" TargetMode="External"/><Relationship Id="rId3" Type="http://schemas.openxmlformats.org/officeDocument/2006/relationships/hyperlink" Target="https://www.theccc.org.uk/" TargetMode="External"/><Relationship Id="rId7" Type="http://schemas.openxmlformats.org/officeDocument/2006/relationships/hyperlink" Target="https://www.publications.parliament.uk/pa/ld201617/ldselect/ldeconaf/113/113.pdf" TargetMode="External"/><Relationship Id="rId2" Type="http://schemas.openxmlformats.org/officeDocument/2006/relationships/hyperlink" Target="https://www.gov.uk/government/uploads/system/uploads/attachment_data/file/209866/pb13942-nap-20130701.pdf" TargetMode="External"/><Relationship Id="rId1" Type="http://schemas.openxmlformats.org/officeDocument/2006/relationships/hyperlink" Target="https://www.bmvi.de/SharedDocs/DE/Anlage/VerkehrUndMobilitaet/national-electromobility-development-plan.pdf?__blob=publicationFile" TargetMode="External"/><Relationship Id="rId6" Type="http://schemas.openxmlformats.org/officeDocument/2006/relationships/hyperlink" Target="http://data.parliament.uk/writtenevidence/committeeevidence.svc/evidencedocument/economic-affairs-committee/the-economics-of-uk-energy-policy/written/42481.pdf" TargetMode="External"/><Relationship Id="rId5" Type="http://schemas.openxmlformats.org/officeDocument/2006/relationships/hyperlink" Target="https://www.gov.uk/government/uploads/system/uploads/attachment_data/file/538293/Capacity_Market__Amendment__Rules_2016.pdf" TargetMode="External"/><Relationship Id="rId4" Type="http://schemas.openxmlformats.org/officeDocument/2006/relationships/hyperlink" Target="http://www.legislation.gov.uk/ukdsi/2014/9780111116852/content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BD59-F7D5-4873-B67D-1DAF2582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9474</Words>
  <Characters>54003</Characters>
  <Application>Microsoft Office Word</Application>
  <DocSecurity>0</DocSecurity>
  <Lines>450</Lines>
  <Paragraphs>126</Paragraphs>
  <ScaleCrop>false</ScaleCrop>
  <HeadingPairs>
    <vt:vector size="2" baseType="variant">
      <vt:variant>
        <vt:lpstr>Titolo</vt:lpstr>
      </vt:variant>
      <vt:variant>
        <vt:i4>1</vt:i4>
      </vt:variant>
    </vt:vector>
  </HeadingPairs>
  <TitlesOfParts>
    <vt:vector size="1" baseType="lpstr">
      <vt:lpstr>Camera dei deputati</vt:lpstr>
    </vt:vector>
  </TitlesOfParts>
  <Company>Camera dei Deputati</Company>
  <LinksUpToDate>false</LinksUpToDate>
  <CharactersWithSpaces>63351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dei deputati</dc:title>
  <dc:creator>tirelli_a</dc:creator>
  <cp:lastModifiedBy>corica</cp:lastModifiedBy>
  <cp:revision>2</cp:revision>
  <dcterms:created xsi:type="dcterms:W3CDTF">2018-03-05T11:45:00Z</dcterms:created>
  <dcterms:modified xsi:type="dcterms:W3CDTF">2018-03-05T11:45:00Z</dcterms:modified>
</cp:coreProperties>
</file>